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38F1" w14:textId="684F4C07" w:rsidR="003E1A04" w:rsidRDefault="003E1A04" w:rsidP="003E1A04">
      <w:pPr>
        <w:jc w:val="center"/>
        <w:rPr>
          <w:b/>
          <w:bCs/>
        </w:rPr>
      </w:pPr>
      <w:r w:rsidRPr="003E1A04">
        <w:rPr>
          <w:b/>
          <w:bCs/>
        </w:rPr>
        <w:t>ANNUAL REPORT OF DAVID GORDON, NOT INDIVIDUALLY, BUT AS LIQUIDATING TRUSTEE OF THE FRASER’S BOILER LIQUIDATING TRUST</w:t>
      </w:r>
    </w:p>
    <w:p w14:paraId="4524A034" w14:textId="77777777" w:rsidR="003E1A04" w:rsidRPr="003E1A04" w:rsidRDefault="003E1A04" w:rsidP="003E1A04">
      <w:pPr>
        <w:jc w:val="center"/>
        <w:rPr>
          <w:b/>
          <w:bCs/>
        </w:rPr>
      </w:pPr>
    </w:p>
    <w:p w14:paraId="3898050A" w14:textId="2C2C54AC" w:rsidR="00B25056" w:rsidRDefault="00436B65" w:rsidP="00C429FB">
      <w:pPr>
        <w:pStyle w:val="NGEBodyL2"/>
        <w:jc w:val="both"/>
      </w:pPr>
      <w:r>
        <w:t xml:space="preserve">David Gordon, </w:t>
      </w:r>
      <w:r w:rsidR="003E1A04">
        <w:t xml:space="preserve">not individually, but </w:t>
      </w:r>
      <w:r>
        <w:t xml:space="preserve">as </w:t>
      </w:r>
      <w:r w:rsidR="00FF4772">
        <w:t xml:space="preserve">Liquidating </w:t>
      </w:r>
      <w:r>
        <w:t>Trustee</w:t>
      </w:r>
      <w:r w:rsidR="00FF4772">
        <w:t xml:space="preserve"> (the “</w:t>
      </w:r>
      <w:r w:rsidR="00FF4772" w:rsidRPr="003E15BD">
        <w:rPr>
          <w:u w:val="single"/>
        </w:rPr>
        <w:t>Trustee</w:t>
      </w:r>
      <w:r w:rsidR="00FF4772">
        <w:t>”)</w:t>
      </w:r>
      <w:r>
        <w:t xml:space="preserve"> of the Fraser’s Boiler Liquidating Trust </w:t>
      </w:r>
      <w:r w:rsidR="00B25056">
        <w:t>(the “</w:t>
      </w:r>
      <w:r w:rsidRPr="003E15BD">
        <w:rPr>
          <w:u w:val="single"/>
        </w:rPr>
        <w:t>Trust</w:t>
      </w:r>
      <w:r w:rsidR="00731EF9">
        <w:t>”)</w:t>
      </w:r>
      <w:r w:rsidR="00170618">
        <w:t>, for</w:t>
      </w:r>
      <w:r w:rsidR="000F262D">
        <w:t xml:space="preserve"> his</w:t>
      </w:r>
      <w:r>
        <w:t xml:space="preserve"> annual</w:t>
      </w:r>
      <w:r w:rsidR="00E435F2">
        <w:t xml:space="preserve"> report pursuant to</w:t>
      </w:r>
      <w:r w:rsidR="00686F33">
        <w:t xml:space="preserve"> section 2.2(c) of the </w:t>
      </w:r>
      <w:r w:rsidR="00FF4772">
        <w:t>Liquidating Trust Agreement (the “</w:t>
      </w:r>
      <w:r w:rsidR="00FF4772" w:rsidRPr="003E15BD">
        <w:rPr>
          <w:u w:val="single"/>
        </w:rPr>
        <w:t>Trust Agreement</w:t>
      </w:r>
      <w:r w:rsidR="00FF4772">
        <w:t>”)</w:t>
      </w:r>
      <w:r w:rsidR="00464BB8">
        <w:t>,</w:t>
      </w:r>
      <w:r w:rsidR="000F262D">
        <w:t xml:space="preserve"> stat</w:t>
      </w:r>
      <w:r w:rsidR="00BB707A">
        <w:t>es</w:t>
      </w:r>
      <w:r w:rsidR="000F262D">
        <w:t xml:space="preserve"> as</w:t>
      </w:r>
      <w:r w:rsidR="00B25056">
        <w:t xml:space="preserve"> follows:</w:t>
      </w:r>
    </w:p>
    <w:p w14:paraId="3B061485" w14:textId="235E5A04" w:rsidR="00893313" w:rsidRPr="003413B0" w:rsidRDefault="00E84CE7" w:rsidP="000F262D">
      <w:pPr>
        <w:pStyle w:val="ListNumber"/>
        <w:numPr>
          <w:ilvl w:val="0"/>
          <w:numId w:val="26"/>
        </w:numPr>
        <w:jc w:val="both"/>
        <w:rPr>
          <w:b/>
          <w:bCs/>
          <w:u w:val="single"/>
        </w:rPr>
      </w:pPr>
      <w:r w:rsidRPr="003413B0">
        <w:rPr>
          <w:b/>
          <w:bCs/>
          <w:u w:val="single"/>
        </w:rPr>
        <w:t xml:space="preserve">Plan </w:t>
      </w:r>
      <w:r w:rsidR="00C0405E" w:rsidRPr="003413B0">
        <w:rPr>
          <w:b/>
          <w:bCs/>
          <w:u w:val="single"/>
        </w:rPr>
        <w:t>Effectuation and Formation of the Trust</w:t>
      </w:r>
    </w:p>
    <w:p w14:paraId="6F9389A5" w14:textId="73AD9BFD" w:rsidR="00CB68D4" w:rsidRPr="00DC0871" w:rsidRDefault="003B2BC9" w:rsidP="00DC0871">
      <w:pPr>
        <w:pStyle w:val="ListNumber"/>
        <w:ind w:firstLine="720"/>
        <w:jc w:val="both"/>
        <w:rPr>
          <w:spacing w:val="-3"/>
        </w:rPr>
      </w:pPr>
      <w:r>
        <w:t xml:space="preserve">On December </w:t>
      </w:r>
      <w:r w:rsidR="00C0405E">
        <w:t>2</w:t>
      </w:r>
      <w:r>
        <w:t>, 2020, this Court entered its</w:t>
      </w:r>
      <w:r w:rsidR="00CB68D4">
        <w:t xml:space="preserve"> Order Confirming Debtor’s Fifth Amended Plan of Reorganization </w:t>
      </w:r>
      <w:r>
        <w:t>[Docket No. 954] (the “</w:t>
      </w:r>
      <w:r w:rsidRPr="003E15BD">
        <w:rPr>
          <w:u w:val="single"/>
        </w:rPr>
        <w:t>Confirmation Order</w:t>
      </w:r>
      <w:r>
        <w:t xml:space="preserve">”) confirming the </w:t>
      </w:r>
      <w:r w:rsidR="00C0405E">
        <w:t>chapter 11 pl</w:t>
      </w:r>
      <w:r w:rsidR="000F5B3F">
        <w:t>an</w:t>
      </w:r>
      <w:r w:rsidR="00C0405E">
        <w:t xml:space="preserve"> (as amended, the “</w:t>
      </w:r>
      <w:r w:rsidR="00C0405E" w:rsidRPr="003E15BD">
        <w:rPr>
          <w:u w:val="single"/>
        </w:rPr>
        <w:t>Plan</w:t>
      </w:r>
      <w:r w:rsidR="00C0405E">
        <w:t>”)</w:t>
      </w:r>
      <w:r w:rsidR="000F5B3F">
        <w:t xml:space="preserve"> filed by Fraser’s Boiler Service, Inc. (the “</w:t>
      </w:r>
      <w:r w:rsidR="000F5B3F" w:rsidRPr="003E15BD">
        <w:rPr>
          <w:u w:val="single"/>
        </w:rPr>
        <w:t>Debtor</w:t>
      </w:r>
      <w:r w:rsidR="000F5B3F">
        <w:t>”).</w:t>
      </w:r>
      <w:r w:rsidR="0077057E">
        <w:rPr>
          <w:rStyle w:val="FootnoteReference"/>
        </w:rPr>
        <w:footnoteReference w:id="1"/>
      </w:r>
      <w:r w:rsidR="000F5B3F">
        <w:t xml:space="preserve">  </w:t>
      </w:r>
    </w:p>
    <w:p w14:paraId="32C12803" w14:textId="6C84E477" w:rsidR="002E7D4D" w:rsidRPr="002E7D4D" w:rsidRDefault="00DC0871" w:rsidP="00D919A8">
      <w:pPr>
        <w:pStyle w:val="ListNumber"/>
        <w:ind w:firstLine="720"/>
        <w:jc w:val="both"/>
        <w:rPr>
          <w:spacing w:val="-3"/>
        </w:rPr>
      </w:pPr>
      <w:r>
        <w:t xml:space="preserve">On </w:t>
      </w:r>
      <w:r w:rsidR="000A3C55">
        <w:t>December 17, 2020</w:t>
      </w:r>
      <w:r w:rsidR="002C7C39">
        <w:t xml:space="preserve"> (the “</w:t>
      </w:r>
      <w:r w:rsidR="002C7C39" w:rsidRPr="003E15BD">
        <w:rPr>
          <w:u w:val="single"/>
        </w:rPr>
        <w:t>Effective Date</w:t>
      </w:r>
      <w:r w:rsidR="002C7C39">
        <w:t>”)</w:t>
      </w:r>
      <w:r>
        <w:t xml:space="preserve">, the Debtor effectuated its Plan, establishing the Liquidating Trust pursuant to the terms of the </w:t>
      </w:r>
      <w:r w:rsidR="00BB707A">
        <w:t xml:space="preserve">Plan and the </w:t>
      </w:r>
      <w:r>
        <w:t>Trust Agreement</w:t>
      </w:r>
      <w:r w:rsidR="00B82275">
        <w:t xml:space="preserve">.  Under the Plan, the Debtor’s asbestos liabilities were channeled to the Trust and the Trustee </w:t>
      </w:r>
      <w:r w:rsidR="00170618">
        <w:t>assumed the role of</w:t>
      </w:r>
      <w:r w:rsidR="00B82275">
        <w:t xml:space="preserve"> Plan Agent. </w:t>
      </w:r>
    </w:p>
    <w:p w14:paraId="537DAF13" w14:textId="4B0CA563" w:rsidR="00D919A8" w:rsidRPr="002C7C39" w:rsidRDefault="00B82275" w:rsidP="00515D5A">
      <w:pPr>
        <w:pStyle w:val="ListNumber"/>
        <w:ind w:firstLine="720"/>
        <w:jc w:val="both"/>
        <w:rPr>
          <w:spacing w:val="-3"/>
        </w:rPr>
      </w:pPr>
      <w:r>
        <w:t xml:space="preserve">To assist the Trustee in performing his obligations under the Trust Agreement, the </w:t>
      </w:r>
      <w:r w:rsidR="00BC06E7">
        <w:t xml:space="preserve">Trustee </w:t>
      </w:r>
      <w:r w:rsidR="00D919A8">
        <w:t xml:space="preserve">engaged </w:t>
      </w:r>
      <w:r w:rsidR="0026736C">
        <w:t xml:space="preserve">counsel, </w:t>
      </w:r>
      <w:r w:rsidR="00170618">
        <w:t xml:space="preserve">a </w:t>
      </w:r>
      <w:r w:rsidR="0026736C">
        <w:t>financial advisor</w:t>
      </w:r>
      <w:r w:rsidR="00BC06E7">
        <w:t>,</w:t>
      </w:r>
      <w:r w:rsidR="00D919A8">
        <w:t xml:space="preserve"> </w:t>
      </w:r>
      <w:r w:rsidR="00BC06E7">
        <w:t xml:space="preserve">and </w:t>
      </w:r>
      <w:r w:rsidR="00D919A8">
        <w:t>investment manager</w:t>
      </w:r>
      <w:r w:rsidR="00BC06E7">
        <w:t xml:space="preserve">s.  In addition, the Trustee retained </w:t>
      </w:r>
      <w:r w:rsidR="002A7E1E">
        <w:t xml:space="preserve">a claim </w:t>
      </w:r>
      <w:r w:rsidR="00550DB5">
        <w:t xml:space="preserve">processor to assist </w:t>
      </w:r>
      <w:r w:rsidR="00BC06E7">
        <w:t xml:space="preserve">him </w:t>
      </w:r>
      <w:r w:rsidR="00550DB5">
        <w:t xml:space="preserve">in evaluating </w:t>
      </w:r>
      <w:r w:rsidR="00BC06E7">
        <w:t xml:space="preserve">unliquidated </w:t>
      </w:r>
      <w:r w:rsidR="00550DB5">
        <w:t xml:space="preserve">asbestos-related personal injury </w:t>
      </w:r>
      <w:r w:rsidR="009A2F0B">
        <w:t xml:space="preserve">and wrongful death </w:t>
      </w:r>
      <w:r w:rsidR="00550DB5">
        <w:t>claims submitted to the Trust</w:t>
      </w:r>
      <w:r w:rsidR="009E1E5F">
        <w:t xml:space="preserve"> (“</w:t>
      </w:r>
      <w:r w:rsidR="009E1E5F" w:rsidRPr="003413B0">
        <w:rPr>
          <w:u w:val="single"/>
        </w:rPr>
        <w:t>Trust Claims</w:t>
      </w:r>
      <w:r w:rsidR="009E1E5F">
        <w:t>”)</w:t>
      </w:r>
      <w:r w:rsidR="00550DB5">
        <w:t>.</w:t>
      </w:r>
    </w:p>
    <w:p w14:paraId="7CA05451" w14:textId="16D35B0E" w:rsidR="002C7C39" w:rsidRDefault="002C7C39" w:rsidP="00515D5A">
      <w:pPr>
        <w:pStyle w:val="ListNumber"/>
        <w:ind w:firstLine="720"/>
        <w:jc w:val="both"/>
        <w:rPr>
          <w:spacing w:val="-3"/>
        </w:rPr>
      </w:pPr>
      <w:r>
        <w:rPr>
          <w:spacing w:val="-3"/>
        </w:rPr>
        <w:t>Under the terms of the Plan,</w:t>
      </w:r>
      <w:r w:rsidR="00BC06E7">
        <w:rPr>
          <w:spacing w:val="-3"/>
        </w:rPr>
        <w:t xml:space="preserve"> following the Effective Date,</w:t>
      </w:r>
      <w:r>
        <w:rPr>
          <w:spacing w:val="-3"/>
        </w:rPr>
        <w:t xml:space="preserve"> the Trustee also served as the </w:t>
      </w:r>
      <w:r w:rsidR="0077057E">
        <w:rPr>
          <w:spacing w:val="-3"/>
        </w:rPr>
        <w:t>Plan</w:t>
      </w:r>
      <w:r>
        <w:rPr>
          <w:spacing w:val="-3"/>
        </w:rPr>
        <w:t xml:space="preserve"> Agent </w:t>
      </w:r>
      <w:r w:rsidR="009A2F0B">
        <w:rPr>
          <w:spacing w:val="-3"/>
        </w:rPr>
        <w:t>and paid</w:t>
      </w:r>
      <w:r>
        <w:rPr>
          <w:spacing w:val="-3"/>
        </w:rPr>
        <w:t xml:space="preserve"> claims under the Plan that were unrelated to Debtor’s asbestos liabilities.  </w:t>
      </w:r>
      <w:r w:rsidR="00BC06E7">
        <w:rPr>
          <w:spacing w:val="-3"/>
        </w:rPr>
        <w:t>In this capacity, during 2021</w:t>
      </w:r>
      <w:r w:rsidR="00170618">
        <w:rPr>
          <w:spacing w:val="-3"/>
        </w:rPr>
        <w:t>,</w:t>
      </w:r>
      <w:r>
        <w:rPr>
          <w:spacing w:val="-3"/>
        </w:rPr>
        <w:t xml:space="preserve"> the Trustee paid $</w:t>
      </w:r>
      <w:r w:rsidR="0077057E" w:rsidRPr="0077057E">
        <w:rPr>
          <w:spacing w:val="-3"/>
        </w:rPr>
        <w:t>4,616,613</w:t>
      </w:r>
      <w:r w:rsidR="0077057E">
        <w:rPr>
          <w:spacing w:val="-3"/>
        </w:rPr>
        <w:t xml:space="preserve"> on account of Administrative Expense Claims, Priority Tax Claims and Other Priority Claims under the Plan. </w:t>
      </w:r>
    </w:p>
    <w:p w14:paraId="5D4F773C" w14:textId="74DD5A9D" w:rsidR="00170618" w:rsidRDefault="00170618" w:rsidP="00170618">
      <w:pPr>
        <w:pStyle w:val="ListNumber"/>
        <w:numPr>
          <w:ilvl w:val="0"/>
          <w:numId w:val="0"/>
        </w:numPr>
        <w:ind w:left="720"/>
        <w:jc w:val="both"/>
        <w:rPr>
          <w:spacing w:val="-3"/>
        </w:rPr>
      </w:pPr>
    </w:p>
    <w:p w14:paraId="6AEA265B" w14:textId="77777777" w:rsidR="00170618" w:rsidRPr="00D06A5E" w:rsidRDefault="00170618" w:rsidP="00170618">
      <w:pPr>
        <w:pStyle w:val="ListNumber"/>
        <w:numPr>
          <w:ilvl w:val="0"/>
          <w:numId w:val="0"/>
        </w:numPr>
        <w:ind w:left="720"/>
        <w:jc w:val="both"/>
        <w:rPr>
          <w:spacing w:val="-3"/>
        </w:rPr>
      </w:pPr>
    </w:p>
    <w:p w14:paraId="3D289484" w14:textId="2454C1C0" w:rsidR="00D06A5E" w:rsidRPr="00170618" w:rsidRDefault="00C0405E" w:rsidP="009E1E5F">
      <w:pPr>
        <w:pStyle w:val="ListNumber"/>
        <w:numPr>
          <w:ilvl w:val="0"/>
          <w:numId w:val="26"/>
        </w:numPr>
        <w:jc w:val="both"/>
        <w:rPr>
          <w:b/>
          <w:bCs/>
          <w:spacing w:val="-3"/>
          <w:u w:val="single"/>
        </w:rPr>
      </w:pPr>
      <w:r w:rsidRPr="00170618">
        <w:rPr>
          <w:b/>
          <w:bCs/>
          <w:u w:val="single"/>
        </w:rPr>
        <w:lastRenderedPageBreak/>
        <w:t>Principal Activities</w:t>
      </w:r>
      <w:r w:rsidR="00170618" w:rsidRPr="00170618">
        <w:rPr>
          <w:b/>
          <w:bCs/>
          <w:u w:val="single"/>
        </w:rPr>
        <w:t xml:space="preserve"> of the Trust</w:t>
      </w:r>
    </w:p>
    <w:p w14:paraId="3477ED27" w14:textId="66D56098" w:rsidR="0011681D" w:rsidRPr="0011681D" w:rsidRDefault="000A094C" w:rsidP="0077057E">
      <w:pPr>
        <w:pStyle w:val="ListNumber"/>
        <w:ind w:firstLine="720"/>
        <w:jc w:val="both"/>
        <w:rPr>
          <w:spacing w:val="-3"/>
        </w:rPr>
      </w:pPr>
      <w:r>
        <w:t xml:space="preserve">The Plan provides </w:t>
      </w:r>
      <w:r w:rsidR="00170618">
        <w:t xml:space="preserve">for </w:t>
      </w:r>
      <w:r w:rsidR="001F53A9">
        <w:t>roughly $</w:t>
      </w:r>
      <w:r w:rsidR="002C7C39">
        <w:t>16</w:t>
      </w:r>
      <w:r w:rsidR="001F53A9">
        <w:t xml:space="preserve"> million </w:t>
      </w:r>
      <w:r w:rsidR="00BC06E7">
        <w:t>to</w:t>
      </w:r>
      <w:r>
        <w:t xml:space="preserve"> be paid or transferred to the Trust</w:t>
      </w:r>
      <w:r w:rsidR="006052BB">
        <w:t xml:space="preserve">, either upon Plan effectuation or </w:t>
      </w:r>
      <w:r w:rsidR="009A2F0B">
        <w:t>at other times pursuant to</w:t>
      </w:r>
      <w:r w:rsidR="006052BB">
        <w:t xml:space="preserve"> settlement agreements </w:t>
      </w:r>
      <w:r w:rsidR="00BC06E7">
        <w:t xml:space="preserve">negotiated between the Debtor and certain of its </w:t>
      </w:r>
      <w:r w:rsidR="006052BB">
        <w:t>insurance carriers (collectively, the “</w:t>
      </w:r>
      <w:r w:rsidR="006052BB" w:rsidRPr="003413B0">
        <w:rPr>
          <w:u w:val="single"/>
        </w:rPr>
        <w:t>Settlement Agreements</w:t>
      </w:r>
      <w:r w:rsidR="006052BB">
        <w:t>”).  Under the Plan</w:t>
      </w:r>
      <w:r w:rsidR="00C52F3C">
        <w:t xml:space="preserve"> and the Trust Agreement</w:t>
      </w:r>
      <w:r w:rsidR="006052BB">
        <w:t xml:space="preserve">, these </w:t>
      </w:r>
      <w:r w:rsidR="00C52F3C">
        <w:t>funds are to be used primarily t</w:t>
      </w:r>
      <w:r>
        <w:t xml:space="preserve">o </w:t>
      </w:r>
      <w:r w:rsidR="001F53A9">
        <w:t>pay</w:t>
      </w:r>
      <w:r w:rsidR="00E84CE7">
        <w:t>, pro rata,</w:t>
      </w:r>
      <w:r w:rsidR="001F53A9">
        <w:t xml:space="preserve"> </w:t>
      </w:r>
      <w:r>
        <w:t>those asbestos</w:t>
      </w:r>
      <w:r w:rsidR="00170618">
        <w:t xml:space="preserve"> personal injury and wrongful death</w:t>
      </w:r>
      <w:r>
        <w:t xml:space="preserve"> claims resolved through mediation</w:t>
      </w:r>
      <w:r w:rsidR="003413B0">
        <w:t xml:space="preserve"> or arbitration</w:t>
      </w:r>
      <w:r>
        <w:t xml:space="preserve"> prior to effectuation of the Plan</w:t>
      </w:r>
      <w:r w:rsidR="00E84CE7">
        <w:t xml:space="preserve"> (“</w:t>
      </w:r>
      <w:r w:rsidR="00E84CE7" w:rsidRPr="003413B0">
        <w:rPr>
          <w:u w:val="single"/>
        </w:rPr>
        <w:t>Liquidated Asbestos Claims</w:t>
      </w:r>
      <w:r w:rsidR="00E84CE7">
        <w:t>”)</w:t>
      </w:r>
      <w:r>
        <w:t xml:space="preserve"> and </w:t>
      </w:r>
      <w:r w:rsidR="00C52F3C">
        <w:t xml:space="preserve">qualifying </w:t>
      </w:r>
      <w:r>
        <w:t xml:space="preserve">Trust Claims subsequently asserted against the Trust over </w:t>
      </w:r>
      <w:r w:rsidR="0011681D">
        <w:t xml:space="preserve">the first four years (or more) following the Effective Date, subject to certain restrictions intended to </w:t>
      </w:r>
      <w:r w:rsidR="009A2F0B">
        <w:t>maintain adequate</w:t>
      </w:r>
      <w:r w:rsidR="0011681D">
        <w:t xml:space="preserve"> funds to pay those claims that are asserted at different times throughout that four-year period.  </w:t>
      </w:r>
      <w:r>
        <w:t xml:space="preserve">  </w:t>
      </w:r>
    </w:p>
    <w:p w14:paraId="0AE7F982" w14:textId="6877C1BC" w:rsidR="0077057E" w:rsidRDefault="0011681D" w:rsidP="0077057E">
      <w:pPr>
        <w:pStyle w:val="ListNumber"/>
        <w:ind w:firstLine="720"/>
        <w:jc w:val="both"/>
        <w:rPr>
          <w:spacing w:val="-3"/>
        </w:rPr>
      </w:pPr>
      <w:r>
        <w:t>Following the Effective Date,</w:t>
      </w:r>
      <w:r w:rsidR="000A094C">
        <w:t xml:space="preserve"> </w:t>
      </w:r>
      <w:r w:rsidR="00170618">
        <w:t xml:space="preserve">the </w:t>
      </w:r>
      <w:r w:rsidR="000A094C">
        <w:t xml:space="preserve">Trustee has </w:t>
      </w:r>
      <w:r w:rsidR="001F53A9">
        <w:t>worked with the Trust’s professionals</w:t>
      </w:r>
      <w:r>
        <w:t xml:space="preserve"> </w:t>
      </w:r>
      <w:r w:rsidR="009A2F0B">
        <w:t>to maintain and invest</w:t>
      </w:r>
      <w:r>
        <w:t xml:space="preserve"> the funds transferred to the Trust by </w:t>
      </w:r>
      <w:r w:rsidR="006052BB">
        <w:t xml:space="preserve">(i) </w:t>
      </w:r>
      <w:r w:rsidR="004364FA">
        <w:t>establish</w:t>
      </w:r>
      <w:r>
        <w:t xml:space="preserve">ing </w:t>
      </w:r>
      <w:r w:rsidR="001F53A9">
        <w:t>bank and investment accounts for the Trust</w:t>
      </w:r>
      <w:r w:rsidR="004364FA">
        <w:t xml:space="preserve">, and (ii) </w:t>
      </w:r>
      <w:r w:rsidR="006052BB">
        <w:t>develop</w:t>
      </w:r>
      <w:r>
        <w:t>ing</w:t>
      </w:r>
      <w:r w:rsidR="006052BB">
        <w:t xml:space="preserve"> and implement</w:t>
      </w:r>
      <w:r>
        <w:t>ing</w:t>
      </w:r>
      <w:r w:rsidR="006052BB">
        <w:t xml:space="preserve"> an investment strategy for the Trust</w:t>
      </w:r>
      <w:r>
        <w:t xml:space="preserve"> consistent with the requirements of the Trust Agreement</w:t>
      </w:r>
      <w:r w:rsidR="006052BB">
        <w:t>.</w:t>
      </w:r>
    </w:p>
    <w:p w14:paraId="1DFFF783" w14:textId="3D111B6E" w:rsidR="00320F43" w:rsidRPr="00320F43" w:rsidRDefault="00320F43" w:rsidP="00320F43">
      <w:pPr>
        <w:pStyle w:val="ListNumber"/>
        <w:ind w:firstLine="720"/>
        <w:jc w:val="both"/>
        <w:rPr>
          <w:spacing w:val="-3"/>
        </w:rPr>
      </w:pPr>
      <w:r>
        <w:t>Following the Trust’s formation, the Trustee undertook a comprehensive review of the Claims Valuation Process (the “</w:t>
      </w:r>
      <w:r w:rsidRPr="003E15BD">
        <w:rPr>
          <w:u w:val="single"/>
        </w:rPr>
        <w:t>CVP</w:t>
      </w:r>
      <w:r>
        <w:t xml:space="preserve">”), which governs the Trust’s evaluation and payment of Trust Claims.  In the course of that review, the Trustee identified a number of internal inconsistencies and drafted an amended version of the CVP to address those inconsistencies and to provide greater clarity to holders of Trust Claims.   In addition, the Trustee developed a claim form and additional materials </w:t>
      </w:r>
      <w:r w:rsidR="009A2F0B">
        <w:t>to facilitate filing of</w:t>
      </w:r>
      <w:r>
        <w:t xml:space="preserve"> Trust Claims </w:t>
      </w:r>
      <w:r w:rsidR="009A2F0B">
        <w:t>with the Trust</w:t>
      </w:r>
      <w:r>
        <w:t xml:space="preserve">.  </w:t>
      </w:r>
    </w:p>
    <w:p w14:paraId="03C25680" w14:textId="4AA86839" w:rsidR="003E4633" w:rsidRPr="003378A7" w:rsidRDefault="00320F43" w:rsidP="003378A7">
      <w:pPr>
        <w:pStyle w:val="ListNumber"/>
        <w:ind w:firstLine="720"/>
        <w:jc w:val="both"/>
        <w:rPr>
          <w:spacing w:val="-3"/>
        </w:rPr>
      </w:pPr>
      <w:r>
        <w:t>T</w:t>
      </w:r>
      <w:r w:rsidR="000A3C55">
        <w:t xml:space="preserve">he assets transferred to the Trust </w:t>
      </w:r>
      <w:r>
        <w:t>included</w:t>
      </w:r>
      <w:r w:rsidR="000A3C55">
        <w:t xml:space="preserve"> the Debtor’s rights to payment </w:t>
      </w:r>
      <w:r>
        <w:t>under</w:t>
      </w:r>
      <w:r w:rsidR="009A2F0B">
        <w:t xml:space="preserve"> the S</w:t>
      </w:r>
      <w:r>
        <w:t>ettlement</w:t>
      </w:r>
      <w:r w:rsidR="000A3C55">
        <w:t xml:space="preserve"> </w:t>
      </w:r>
      <w:r w:rsidR="009A2F0B">
        <w:t>A</w:t>
      </w:r>
      <w:r w:rsidR="000A3C55">
        <w:t xml:space="preserve">greements.  During 2021, the Trustee oversaw the collection of </w:t>
      </w:r>
      <w:r w:rsidR="003378A7" w:rsidRPr="003378A7">
        <w:rPr>
          <w:color w:val="000000"/>
        </w:rPr>
        <w:t>$15,593,872.41</w:t>
      </w:r>
      <w:r w:rsidR="003378A7">
        <w:rPr>
          <w:spacing w:val="-3"/>
        </w:rPr>
        <w:t xml:space="preserve"> </w:t>
      </w:r>
      <w:r>
        <w:lastRenderedPageBreak/>
        <w:t xml:space="preserve">coming due </w:t>
      </w:r>
      <w:r w:rsidR="000A3C55">
        <w:t>under those agreements.</w:t>
      </w:r>
      <w:r w:rsidR="000A3C55" w:rsidRPr="003378A7">
        <w:rPr>
          <w:b/>
          <w:bCs/>
        </w:rPr>
        <w:t xml:space="preserve"> </w:t>
      </w:r>
      <w:r w:rsidR="00AC3983">
        <w:t xml:space="preserve"> </w:t>
      </w:r>
      <w:r w:rsidR="00E84CE7">
        <w:t xml:space="preserve">Other than these recoveries, </w:t>
      </w:r>
      <w:r>
        <w:t xml:space="preserve">the </w:t>
      </w:r>
      <w:r w:rsidR="00AC3983">
        <w:t>Trust did not receive or recover any additional assets during 2021.</w:t>
      </w:r>
    </w:p>
    <w:p w14:paraId="7946534F" w14:textId="63013A68" w:rsidR="003E4633" w:rsidRPr="00E84CE7" w:rsidRDefault="003E4633" w:rsidP="003E4633">
      <w:pPr>
        <w:pStyle w:val="ListNumber"/>
        <w:numPr>
          <w:ilvl w:val="0"/>
          <w:numId w:val="26"/>
        </w:numPr>
        <w:rPr>
          <w:b/>
          <w:bCs/>
          <w:u w:val="single"/>
        </w:rPr>
      </w:pPr>
      <w:r w:rsidRPr="00E84CE7">
        <w:rPr>
          <w:b/>
          <w:bCs/>
          <w:u w:val="single"/>
        </w:rPr>
        <w:t>Initial Payments to Holders of Liquidated</w:t>
      </w:r>
      <w:r w:rsidR="003F7340" w:rsidRPr="00E84CE7">
        <w:rPr>
          <w:b/>
          <w:bCs/>
          <w:u w:val="single"/>
        </w:rPr>
        <w:t xml:space="preserve"> Asbestos</w:t>
      </w:r>
      <w:r w:rsidRPr="00E84CE7">
        <w:rPr>
          <w:b/>
          <w:bCs/>
          <w:u w:val="single"/>
        </w:rPr>
        <w:t xml:space="preserve"> Claims</w:t>
      </w:r>
    </w:p>
    <w:p w14:paraId="78144ABD" w14:textId="12FB4413" w:rsidR="001B28F8" w:rsidRDefault="001F2ECB" w:rsidP="00320F43">
      <w:pPr>
        <w:pStyle w:val="ListNumber"/>
        <w:ind w:firstLine="720"/>
      </w:pPr>
      <w:r>
        <w:t xml:space="preserve">The Plan, Trust Agreement and CVP contemplate that the Trust will make initial pro-rata distributions to holders of Liquidated Asbestos Claims </w:t>
      </w:r>
      <w:r w:rsidR="009A2F0B">
        <w:t>and</w:t>
      </w:r>
      <w:r w:rsidR="00D919A8" w:rsidRPr="00C80A58">
        <w:t xml:space="preserve"> oversee</w:t>
      </w:r>
      <w:r w:rsidR="009A2F0B">
        <w:t xml:space="preserve"> </w:t>
      </w:r>
      <w:r w:rsidR="00D919A8" w:rsidRPr="00C80A58">
        <w:t>compliance with Medicare reporting obligations</w:t>
      </w:r>
      <w:r w:rsidR="00320F43">
        <w:t xml:space="preserve">. </w:t>
      </w:r>
      <w:r w:rsidR="001B28F8">
        <w:t>During 2021, the Trustee made payments totaling $</w:t>
      </w:r>
      <w:r w:rsidR="00674930" w:rsidRPr="00674930">
        <w:t>8,007,639</w:t>
      </w:r>
      <w:r w:rsidR="00C0405E">
        <w:t xml:space="preserve"> on account of Liquidated Asbestos Claims.  These Liquidated Asbestos Claims had an aggregate liquidated value of $</w:t>
      </w:r>
      <w:r w:rsidR="00917CD5">
        <w:t>16,355,592.67</w:t>
      </w:r>
      <w:r w:rsidR="00C0405E">
        <w:t xml:space="preserve"> </w:t>
      </w:r>
      <w:r w:rsidR="00917CD5">
        <w:t xml:space="preserve">and </w:t>
      </w:r>
      <w:r w:rsidR="00100FE7">
        <w:t>holders received</w:t>
      </w:r>
      <w:r w:rsidR="00C0405E">
        <w:t xml:space="preserve"> a </w:t>
      </w:r>
      <w:r w:rsidR="00917CD5">
        <w:t>48.87</w:t>
      </w:r>
      <w:r w:rsidR="00C0405E">
        <w:t xml:space="preserve">% pro rata distribution on </w:t>
      </w:r>
      <w:r w:rsidR="001B3ADA">
        <w:t>their</w:t>
      </w:r>
      <w:r w:rsidR="00C0405E">
        <w:t xml:space="preserve"> claims.</w:t>
      </w:r>
      <w:r w:rsidR="00100FE7">
        <w:t xml:space="preserve">  </w:t>
      </w:r>
      <w:r w:rsidR="003413B0">
        <w:t xml:space="preserve">The Trustee complied with his Medicare reporting </w:t>
      </w:r>
      <w:r w:rsidR="001B3ADA">
        <w:t>obligations with respect to</w:t>
      </w:r>
      <w:r w:rsidR="003413B0">
        <w:t xml:space="preserve"> Liquidated Asbestos Claims paid by the Trust</w:t>
      </w:r>
      <w:r w:rsidR="001B3ADA">
        <w:t xml:space="preserve"> for which reporting </w:t>
      </w:r>
      <w:r w:rsidR="006D08D9">
        <w:t>was</w:t>
      </w:r>
      <w:r w:rsidR="001B3ADA">
        <w:t xml:space="preserve"> required</w:t>
      </w:r>
      <w:r w:rsidR="003413B0">
        <w:t>.</w:t>
      </w:r>
    </w:p>
    <w:p w14:paraId="7E66CF20" w14:textId="64D419A1" w:rsidR="00AC3983" w:rsidRDefault="00C0405E" w:rsidP="00E475F2">
      <w:pPr>
        <w:pStyle w:val="ListNumber"/>
        <w:ind w:firstLine="720"/>
      </w:pPr>
      <w:r>
        <w:t>During 2021, no</w:t>
      </w:r>
      <w:r w:rsidR="00AC3983">
        <w:t xml:space="preserve"> additional</w:t>
      </w:r>
      <w:r>
        <w:t xml:space="preserve"> Trust Claims were received or paid by the Trust. </w:t>
      </w:r>
    </w:p>
    <w:p w14:paraId="66E8D58A" w14:textId="3F1E0A98" w:rsidR="00AC3983" w:rsidRPr="00435A19" w:rsidRDefault="00AC3983" w:rsidP="008921A5">
      <w:pPr>
        <w:pStyle w:val="ListNumber"/>
        <w:keepNext/>
        <w:numPr>
          <w:ilvl w:val="0"/>
          <w:numId w:val="26"/>
        </w:numPr>
        <w:rPr>
          <w:b/>
          <w:bCs/>
          <w:u w:val="single"/>
        </w:rPr>
      </w:pPr>
      <w:r w:rsidRPr="00435A19">
        <w:rPr>
          <w:b/>
          <w:bCs/>
          <w:u w:val="single"/>
        </w:rPr>
        <w:t>Additional Expenses Paid by the Trust</w:t>
      </w:r>
    </w:p>
    <w:p w14:paraId="075D292B" w14:textId="731D173D" w:rsidR="00176069" w:rsidRDefault="00176069" w:rsidP="00795306">
      <w:pPr>
        <w:pStyle w:val="ListNumber"/>
        <w:ind w:firstLine="720"/>
      </w:pPr>
      <w:r>
        <w:t xml:space="preserve">In addition to those </w:t>
      </w:r>
      <w:r w:rsidR="003413B0">
        <w:t>payments</w:t>
      </w:r>
      <w:r>
        <w:t xml:space="preserve"> described above, the Trust paid the following expenses in 2021 in connection with </w:t>
      </w:r>
      <w:r w:rsidR="003413B0">
        <w:t>the Trust’s</w:t>
      </w:r>
      <w:r>
        <w:t xml:space="preserve"> operations:</w:t>
      </w:r>
    </w:p>
    <w:tbl>
      <w:tblPr>
        <w:tblStyle w:val="TableGrid"/>
        <w:tblW w:w="0" w:type="auto"/>
        <w:tblInd w:w="355" w:type="dxa"/>
        <w:tblLook w:val="04A0" w:firstRow="1" w:lastRow="0" w:firstColumn="1" w:lastColumn="0" w:noHBand="0" w:noVBand="1"/>
      </w:tblPr>
      <w:tblGrid>
        <w:gridCol w:w="4410"/>
        <w:gridCol w:w="3870"/>
      </w:tblGrid>
      <w:tr w:rsidR="00176069" w14:paraId="65A980C3" w14:textId="77777777" w:rsidTr="00435A19">
        <w:tc>
          <w:tcPr>
            <w:tcW w:w="4410" w:type="dxa"/>
          </w:tcPr>
          <w:p w14:paraId="38D11582" w14:textId="4312F16B" w:rsidR="00176069" w:rsidRPr="00176069" w:rsidRDefault="00176069" w:rsidP="00435A19">
            <w:pPr>
              <w:pStyle w:val="ListNumber"/>
              <w:numPr>
                <w:ilvl w:val="0"/>
                <w:numId w:val="0"/>
              </w:numPr>
              <w:spacing w:line="240" w:lineRule="auto"/>
              <w:jc w:val="center"/>
              <w:rPr>
                <w:b/>
                <w:bCs/>
              </w:rPr>
            </w:pPr>
            <w:r w:rsidRPr="00176069">
              <w:rPr>
                <w:b/>
                <w:bCs/>
              </w:rPr>
              <w:t>Expense</w:t>
            </w:r>
          </w:p>
        </w:tc>
        <w:tc>
          <w:tcPr>
            <w:tcW w:w="3870" w:type="dxa"/>
          </w:tcPr>
          <w:p w14:paraId="4832F338" w14:textId="6F70C8D1" w:rsidR="00176069" w:rsidRPr="00176069" w:rsidRDefault="00176069" w:rsidP="00435A19">
            <w:pPr>
              <w:pStyle w:val="ListNumber"/>
              <w:numPr>
                <w:ilvl w:val="0"/>
                <w:numId w:val="0"/>
              </w:numPr>
              <w:spacing w:line="240" w:lineRule="auto"/>
              <w:jc w:val="center"/>
              <w:rPr>
                <w:b/>
                <w:bCs/>
              </w:rPr>
            </w:pPr>
            <w:r w:rsidRPr="00176069">
              <w:rPr>
                <w:b/>
                <w:bCs/>
              </w:rPr>
              <w:t>Amount</w:t>
            </w:r>
            <w:r w:rsidR="003E15BD">
              <w:rPr>
                <w:rStyle w:val="FootnoteReference"/>
                <w:b/>
                <w:bCs/>
              </w:rPr>
              <w:footnoteReference w:id="2"/>
            </w:r>
          </w:p>
        </w:tc>
      </w:tr>
      <w:tr w:rsidR="00435A19" w14:paraId="13763999" w14:textId="77777777" w:rsidTr="00435A19">
        <w:tc>
          <w:tcPr>
            <w:tcW w:w="4410" w:type="dxa"/>
          </w:tcPr>
          <w:p w14:paraId="238C2401" w14:textId="0A008A78" w:rsidR="00435A19" w:rsidRDefault="00435A19" w:rsidP="008921A5">
            <w:pPr>
              <w:pStyle w:val="ListNumber"/>
              <w:numPr>
                <w:ilvl w:val="0"/>
                <w:numId w:val="0"/>
              </w:numPr>
              <w:spacing w:line="240" w:lineRule="auto"/>
            </w:pPr>
            <w:r>
              <w:t xml:space="preserve">Trustee Fees </w:t>
            </w:r>
          </w:p>
        </w:tc>
        <w:tc>
          <w:tcPr>
            <w:tcW w:w="3870" w:type="dxa"/>
          </w:tcPr>
          <w:p w14:paraId="524DF328" w14:textId="3A34C228" w:rsidR="00435A19" w:rsidRDefault="00435A19" w:rsidP="00435A19">
            <w:pPr>
              <w:pStyle w:val="ListNumber"/>
              <w:numPr>
                <w:ilvl w:val="0"/>
                <w:numId w:val="0"/>
              </w:numPr>
              <w:spacing w:line="240" w:lineRule="auto"/>
              <w:jc w:val="right"/>
            </w:pPr>
            <w:r>
              <w:t>$20,2</w:t>
            </w:r>
            <w:r w:rsidR="006D08D9">
              <w:t>50.00</w:t>
            </w:r>
          </w:p>
        </w:tc>
      </w:tr>
      <w:tr w:rsidR="00435A19" w14:paraId="51A0B76C" w14:textId="77777777" w:rsidTr="00435A19">
        <w:tc>
          <w:tcPr>
            <w:tcW w:w="4410" w:type="dxa"/>
          </w:tcPr>
          <w:p w14:paraId="398C63EC" w14:textId="7DD16F0F" w:rsidR="00435A19" w:rsidRDefault="00435A19" w:rsidP="008921A5">
            <w:pPr>
              <w:pStyle w:val="ListNumber"/>
              <w:numPr>
                <w:ilvl w:val="0"/>
                <w:numId w:val="0"/>
              </w:numPr>
              <w:spacing w:line="240" w:lineRule="auto"/>
            </w:pPr>
            <w:r>
              <w:t>Trustee Expenses</w:t>
            </w:r>
          </w:p>
        </w:tc>
        <w:tc>
          <w:tcPr>
            <w:tcW w:w="3870" w:type="dxa"/>
          </w:tcPr>
          <w:p w14:paraId="59E21732" w14:textId="3D833D74" w:rsidR="00435A19" w:rsidRDefault="00435A19" w:rsidP="00435A19">
            <w:pPr>
              <w:pStyle w:val="ListNumber"/>
              <w:numPr>
                <w:ilvl w:val="0"/>
                <w:numId w:val="0"/>
              </w:numPr>
              <w:spacing w:line="240" w:lineRule="auto"/>
              <w:jc w:val="right"/>
            </w:pPr>
            <w:r>
              <w:t>$2,144.</w:t>
            </w:r>
            <w:r w:rsidR="006D08D9">
              <w:t>00</w:t>
            </w:r>
          </w:p>
        </w:tc>
      </w:tr>
      <w:tr w:rsidR="00176069" w14:paraId="79B0118D" w14:textId="77777777" w:rsidTr="00435A19">
        <w:tc>
          <w:tcPr>
            <w:tcW w:w="4410" w:type="dxa"/>
          </w:tcPr>
          <w:p w14:paraId="32BD9561" w14:textId="52DAE734" w:rsidR="00176069" w:rsidRDefault="00176069" w:rsidP="008921A5">
            <w:pPr>
              <w:pStyle w:val="ListNumber"/>
              <w:numPr>
                <w:ilvl w:val="0"/>
                <w:numId w:val="0"/>
              </w:numPr>
              <w:spacing w:line="240" w:lineRule="auto"/>
            </w:pPr>
            <w:r>
              <w:t>Legal Fees</w:t>
            </w:r>
          </w:p>
        </w:tc>
        <w:tc>
          <w:tcPr>
            <w:tcW w:w="3870" w:type="dxa"/>
          </w:tcPr>
          <w:p w14:paraId="2E186A3A" w14:textId="08521E58" w:rsidR="00176069" w:rsidRDefault="00176069" w:rsidP="00435A19">
            <w:pPr>
              <w:pStyle w:val="ListNumber"/>
              <w:numPr>
                <w:ilvl w:val="0"/>
                <w:numId w:val="0"/>
              </w:numPr>
              <w:spacing w:line="240" w:lineRule="auto"/>
              <w:jc w:val="right"/>
            </w:pPr>
            <w:r>
              <w:t>$72,973</w:t>
            </w:r>
            <w:r w:rsidR="00435A19">
              <w:t>.00</w:t>
            </w:r>
          </w:p>
        </w:tc>
      </w:tr>
      <w:tr w:rsidR="00176069" w14:paraId="1D39F0CD" w14:textId="77777777" w:rsidTr="00435A19">
        <w:tc>
          <w:tcPr>
            <w:tcW w:w="4410" w:type="dxa"/>
          </w:tcPr>
          <w:p w14:paraId="729E504C" w14:textId="7171373E" w:rsidR="00176069" w:rsidRDefault="00176069" w:rsidP="008921A5">
            <w:pPr>
              <w:pStyle w:val="ListNumber"/>
              <w:numPr>
                <w:ilvl w:val="0"/>
                <w:numId w:val="0"/>
              </w:numPr>
              <w:spacing w:line="240" w:lineRule="auto"/>
            </w:pPr>
            <w:r>
              <w:t>Accounting Fees</w:t>
            </w:r>
          </w:p>
        </w:tc>
        <w:tc>
          <w:tcPr>
            <w:tcW w:w="3870" w:type="dxa"/>
          </w:tcPr>
          <w:p w14:paraId="3E7B5A09" w14:textId="043640D9" w:rsidR="00176069" w:rsidRDefault="00176069" w:rsidP="00435A19">
            <w:pPr>
              <w:pStyle w:val="ListNumber"/>
              <w:numPr>
                <w:ilvl w:val="0"/>
                <w:numId w:val="0"/>
              </w:numPr>
              <w:spacing w:line="240" w:lineRule="auto"/>
              <w:jc w:val="right"/>
            </w:pPr>
            <w:r>
              <w:t>$30,875</w:t>
            </w:r>
            <w:r w:rsidR="00435A19">
              <w:t>.00</w:t>
            </w:r>
          </w:p>
        </w:tc>
      </w:tr>
      <w:tr w:rsidR="00176069" w14:paraId="4BE174C7" w14:textId="77777777" w:rsidTr="00435A19">
        <w:tc>
          <w:tcPr>
            <w:tcW w:w="4410" w:type="dxa"/>
          </w:tcPr>
          <w:p w14:paraId="52D7A0AB" w14:textId="65C33625" w:rsidR="00176069" w:rsidRDefault="00176069" w:rsidP="008921A5">
            <w:pPr>
              <w:pStyle w:val="ListNumber"/>
              <w:numPr>
                <w:ilvl w:val="0"/>
                <w:numId w:val="0"/>
              </w:numPr>
              <w:spacing w:line="240" w:lineRule="auto"/>
            </w:pPr>
            <w:r>
              <w:t>Claims Processing Fees</w:t>
            </w:r>
          </w:p>
        </w:tc>
        <w:tc>
          <w:tcPr>
            <w:tcW w:w="3870" w:type="dxa"/>
          </w:tcPr>
          <w:p w14:paraId="353BA2CD" w14:textId="4821A632" w:rsidR="00176069" w:rsidRDefault="00176069" w:rsidP="00435A19">
            <w:pPr>
              <w:pStyle w:val="ListNumber"/>
              <w:numPr>
                <w:ilvl w:val="0"/>
                <w:numId w:val="0"/>
              </w:numPr>
              <w:spacing w:line="240" w:lineRule="auto"/>
              <w:jc w:val="right"/>
            </w:pPr>
            <w:r>
              <w:t>$71,978</w:t>
            </w:r>
            <w:r w:rsidR="00435A19">
              <w:t>.00</w:t>
            </w:r>
          </w:p>
        </w:tc>
      </w:tr>
      <w:tr w:rsidR="00176069" w14:paraId="68D24013" w14:textId="77777777" w:rsidTr="00435A19">
        <w:tc>
          <w:tcPr>
            <w:tcW w:w="4410" w:type="dxa"/>
          </w:tcPr>
          <w:p w14:paraId="2349DC1F" w14:textId="726D3097" w:rsidR="00176069" w:rsidRDefault="00176069" w:rsidP="008921A5">
            <w:pPr>
              <w:pStyle w:val="ListNumber"/>
              <w:numPr>
                <w:ilvl w:val="0"/>
                <w:numId w:val="0"/>
              </w:numPr>
              <w:spacing w:line="240" w:lineRule="auto"/>
            </w:pPr>
            <w:r>
              <w:t>Insurance Costs</w:t>
            </w:r>
          </w:p>
        </w:tc>
        <w:tc>
          <w:tcPr>
            <w:tcW w:w="3870" w:type="dxa"/>
          </w:tcPr>
          <w:p w14:paraId="638E6554" w14:textId="5D2DDD1B" w:rsidR="00176069" w:rsidRDefault="00176069" w:rsidP="00435A19">
            <w:pPr>
              <w:pStyle w:val="ListNumber"/>
              <w:numPr>
                <w:ilvl w:val="0"/>
                <w:numId w:val="0"/>
              </w:numPr>
              <w:spacing w:line="240" w:lineRule="auto"/>
              <w:jc w:val="right"/>
            </w:pPr>
            <w:r>
              <w:t>$28,876</w:t>
            </w:r>
            <w:r w:rsidR="00435A19">
              <w:t>.00</w:t>
            </w:r>
          </w:p>
        </w:tc>
      </w:tr>
      <w:tr w:rsidR="00176069" w14:paraId="139D5936" w14:textId="77777777" w:rsidTr="00435A19">
        <w:tc>
          <w:tcPr>
            <w:tcW w:w="4410" w:type="dxa"/>
          </w:tcPr>
          <w:p w14:paraId="2DCB12F2" w14:textId="029C2A75" w:rsidR="00176069" w:rsidRDefault="00176069" w:rsidP="008921A5">
            <w:pPr>
              <w:pStyle w:val="ListNumber"/>
              <w:numPr>
                <w:ilvl w:val="0"/>
                <w:numId w:val="0"/>
              </w:numPr>
              <w:spacing w:line="240" w:lineRule="auto"/>
            </w:pPr>
            <w:r>
              <w:t xml:space="preserve">Investment </w:t>
            </w:r>
            <w:r w:rsidR="00435A19">
              <w:t>and</w:t>
            </w:r>
            <w:r>
              <w:t xml:space="preserve"> Bank Fees</w:t>
            </w:r>
          </w:p>
        </w:tc>
        <w:tc>
          <w:tcPr>
            <w:tcW w:w="3870" w:type="dxa"/>
          </w:tcPr>
          <w:p w14:paraId="62A29E3C" w14:textId="50CBED94" w:rsidR="00176069" w:rsidRDefault="009F5BE0" w:rsidP="00435A19">
            <w:pPr>
              <w:pStyle w:val="ListNumber"/>
              <w:numPr>
                <w:ilvl w:val="0"/>
                <w:numId w:val="0"/>
              </w:numPr>
              <w:spacing w:line="240" w:lineRule="auto"/>
              <w:jc w:val="right"/>
            </w:pPr>
            <w:r>
              <w:t>5,665.00</w:t>
            </w:r>
          </w:p>
        </w:tc>
      </w:tr>
      <w:tr w:rsidR="00176069" w14:paraId="28A11A42" w14:textId="77777777" w:rsidTr="00435A19">
        <w:tc>
          <w:tcPr>
            <w:tcW w:w="4410" w:type="dxa"/>
          </w:tcPr>
          <w:p w14:paraId="496B99B6" w14:textId="33668FAC" w:rsidR="00176069" w:rsidRDefault="00176069" w:rsidP="008921A5">
            <w:pPr>
              <w:pStyle w:val="ListNumber"/>
              <w:numPr>
                <w:ilvl w:val="0"/>
                <w:numId w:val="0"/>
              </w:numPr>
              <w:spacing w:line="240" w:lineRule="auto"/>
            </w:pPr>
            <w:r>
              <w:t>Other Operating Costs</w:t>
            </w:r>
          </w:p>
        </w:tc>
        <w:tc>
          <w:tcPr>
            <w:tcW w:w="3870" w:type="dxa"/>
          </w:tcPr>
          <w:p w14:paraId="3FF4AD17" w14:textId="27E0381C" w:rsidR="00176069" w:rsidRPr="00435A19" w:rsidRDefault="00176069" w:rsidP="00435A19">
            <w:pPr>
              <w:pStyle w:val="ListNumber"/>
              <w:numPr>
                <w:ilvl w:val="0"/>
                <w:numId w:val="0"/>
              </w:numPr>
              <w:spacing w:line="240" w:lineRule="auto"/>
              <w:jc w:val="right"/>
            </w:pPr>
            <w:r w:rsidRPr="00435A19">
              <w:t>$3,708</w:t>
            </w:r>
            <w:r w:rsidR="00435A19">
              <w:t>.00</w:t>
            </w:r>
          </w:p>
        </w:tc>
      </w:tr>
      <w:tr w:rsidR="00176069" w14:paraId="28E2F81F" w14:textId="77777777" w:rsidTr="00435A19">
        <w:tc>
          <w:tcPr>
            <w:tcW w:w="4410" w:type="dxa"/>
          </w:tcPr>
          <w:p w14:paraId="620747B2" w14:textId="5D821199" w:rsidR="00176069" w:rsidRPr="00795306" w:rsidRDefault="00795306" w:rsidP="008921A5">
            <w:pPr>
              <w:pStyle w:val="ListNumber"/>
              <w:numPr>
                <w:ilvl w:val="0"/>
                <w:numId w:val="0"/>
              </w:numPr>
              <w:spacing w:line="240" w:lineRule="auto"/>
              <w:rPr>
                <w:b/>
                <w:bCs/>
              </w:rPr>
            </w:pPr>
            <w:r w:rsidRPr="00795306">
              <w:rPr>
                <w:b/>
                <w:bCs/>
              </w:rPr>
              <w:t>Total</w:t>
            </w:r>
          </w:p>
        </w:tc>
        <w:tc>
          <w:tcPr>
            <w:tcW w:w="3870" w:type="dxa"/>
          </w:tcPr>
          <w:p w14:paraId="4C566163" w14:textId="4250DE8A" w:rsidR="00176069" w:rsidRPr="00795306" w:rsidRDefault="00070CC9" w:rsidP="00435A19">
            <w:pPr>
              <w:pStyle w:val="ListNumber"/>
              <w:numPr>
                <w:ilvl w:val="0"/>
                <w:numId w:val="0"/>
              </w:numPr>
              <w:spacing w:line="240" w:lineRule="auto"/>
              <w:jc w:val="right"/>
              <w:rPr>
                <w:b/>
                <w:bCs/>
              </w:rPr>
            </w:pPr>
            <w:r w:rsidRPr="00795306">
              <w:rPr>
                <w:b/>
                <w:bCs/>
              </w:rPr>
              <w:t>$</w:t>
            </w:r>
            <w:r w:rsidR="00BF33A1">
              <w:rPr>
                <w:b/>
                <w:bCs/>
              </w:rPr>
              <w:t>23</w:t>
            </w:r>
            <w:r w:rsidR="009F5BE0">
              <w:rPr>
                <w:b/>
                <w:bCs/>
              </w:rPr>
              <w:t>6</w:t>
            </w:r>
            <w:r w:rsidR="00BF33A1">
              <w:rPr>
                <w:b/>
                <w:bCs/>
              </w:rPr>
              <w:t>,</w:t>
            </w:r>
            <w:r w:rsidR="009F5BE0">
              <w:rPr>
                <w:b/>
                <w:bCs/>
              </w:rPr>
              <w:t>4</w:t>
            </w:r>
            <w:r w:rsidR="00BF33A1">
              <w:rPr>
                <w:b/>
                <w:bCs/>
              </w:rPr>
              <w:t>6</w:t>
            </w:r>
            <w:r w:rsidR="006D08D9">
              <w:rPr>
                <w:b/>
                <w:bCs/>
              </w:rPr>
              <w:t>9</w:t>
            </w:r>
            <w:r w:rsidR="00BF33A1">
              <w:rPr>
                <w:b/>
                <w:bCs/>
              </w:rPr>
              <w:t>.</w:t>
            </w:r>
            <w:r w:rsidR="006D08D9">
              <w:rPr>
                <w:b/>
                <w:bCs/>
              </w:rPr>
              <w:t>00</w:t>
            </w:r>
          </w:p>
        </w:tc>
      </w:tr>
    </w:tbl>
    <w:p w14:paraId="6F9308B2" w14:textId="49DE493A" w:rsidR="00B25056" w:rsidRDefault="00B25056" w:rsidP="008921A5">
      <w:pPr>
        <w:pStyle w:val="ListNumber"/>
        <w:numPr>
          <w:ilvl w:val="0"/>
          <w:numId w:val="0"/>
        </w:numPr>
        <w:spacing w:line="240" w:lineRule="auto"/>
      </w:pPr>
    </w:p>
    <w:p w14:paraId="3F7394A8" w14:textId="75B945F6" w:rsidR="00EC78C7" w:rsidRDefault="003F18B3" w:rsidP="00435A19">
      <w:pPr>
        <w:spacing w:after="240"/>
        <w:rPr>
          <w:smallCaps/>
        </w:rPr>
      </w:pPr>
      <w:r>
        <w:t xml:space="preserve">Dated:  </w:t>
      </w:r>
      <w:r w:rsidR="00E711EC">
        <w:t xml:space="preserve">January </w:t>
      </w:r>
      <w:r w:rsidR="009F5BE0">
        <w:t>31</w:t>
      </w:r>
      <w:r w:rsidR="00E711EC">
        <w:t>, 2022</w:t>
      </w:r>
      <w:r w:rsidR="00975CEA">
        <w:tab/>
      </w:r>
      <w:r w:rsidR="00975CEA">
        <w:tab/>
      </w:r>
    </w:p>
    <w:p w14:paraId="06E026DB" w14:textId="77777777" w:rsidR="00C429FB" w:rsidRDefault="00C429FB" w:rsidP="00C429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
          <w:sz w:val="27"/>
          <w:u w:val="single"/>
        </w:rPr>
      </w:pPr>
    </w:p>
    <w:sectPr w:rsidR="00C429FB" w:rsidSect="00CD29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501C" w14:textId="77777777" w:rsidR="00E01005" w:rsidRDefault="00E01005">
      <w:r>
        <w:separator/>
      </w:r>
    </w:p>
  </w:endnote>
  <w:endnote w:type="continuationSeparator" w:id="0">
    <w:p w14:paraId="279B2629" w14:textId="77777777" w:rsidR="00E01005" w:rsidRDefault="00E0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pNA|">
    <w:altName w:val="Ebrima"/>
    <w:panose1 w:val="00000000000000000000"/>
    <w:charset w:val="00"/>
    <w:family w:val="roman"/>
    <w:notTrueType/>
    <w:pitch w:val="default"/>
    <w:sig w:usb0="7FFDD08F" w:usb1="004B4B5C" w:usb2="00000008" w:usb3="004B4B5C" w:csb0="00000009" w:csb1="0000002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B1FD" w14:textId="77777777" w:rsidR="007432DC" w:rsidRDefault="00743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C51C" w14:textId="03F91F1F" w:rsidR="007432DC" w:rsidRPr="007432DC" w:rsidRDefault="009F5BE0" w:rsidP="007432DC">
    <w:pPr>
      <w:pStyle w:val="Footer"/>
      <w:jc w:val="left"/>
      <w:rPr>
        <w:sz w:val="24"/>
        <w:szCs w:val="24"/>
      </w:rPr>
    </w:pPr>
    <w:r w:rsidRPr="009F5BE0">
      <w:rPr>
        <w:noProof/>
        <w:sz w:val="16"/>
      </w:rPr>
      <w:t>{FRASERS/001/00062810.DOCX/2}</w:t>
    </w:r>
    <w:r w:rsidR="007432DC">
      <w:tab/>
    </w:r>
    <w:sdt>
      <w:sdtPr>
        <w:id w:val="475567823"/>
        <w:docPartObj>
          <w:docPartGallery w:val="Page Numbers (Bottom of Page)"/>
          <w:docPartUnique/>
        </w:docPartObj>
      </w:sdtPr>
      <w:sdtEndPr>
        <w:rPr>
          <w:noProof/>
          <w:sz w:val="24"/>
          <w:szCs w:val="24"/>
        </w:rPr>
      </w:sdtEndPr>
      <w:sdtContent>
        <w:r w:rsidR="007432DC" w:rsidRPr="007432DC">
          <w:rPr>
            <w:sz w:val="24"/>
            <w:szCs w:val="24"/>
          </w:rPr>
          <w:fldChar w:fldCharType="begin"/>
        </w:r>
        <w:r w:rsidR="007432DC" w:rsidRPr="007432DC">
          <w:rPr>
            <w:sz w:val="24"/>
            <w:szCs w:val="24"/>
          </w:rPr>
          <w:instrText xml:space="preserve"> PAGE   \* MERGEFORMAT </w:instrText>
        </w:r>
        <w:r w:rsidR="007432DC" w:rsidRPr="007432DC">
          <w:rPr>
            <w:sz w:val="24"/>
            <w:szCs w:val="24"/>
          </w:rPr>
          <w:fldChar w:fldCharType="separate"/>
        </w:r>
        <w:r w:rsidR="007432DC" w:rsidRPr="007432DC">
          <w:rPr>
            <w:noProof/>
            <w:sz w:val="24"/>
            <w:szCs w:val="24"/>
          </w:rPr>
          <w:t>2</w:t>
        </w:r>
        <w:r w:rsidR="007432DC" w:rsidRPr="007432DC">
          <w:rPr>
            <w:noProof/>
            <w:sz w:val="24"/>
            <w:szCs w:val="24"/>
          </w:rPr>
          <w:fldChar w:fldCharType="end"/>
        </w:r>
      </w:sdtContent>
    </w:sdt>
  </w:p>
  <w:p w14:paraId="7840AED3" w14:textId="6316EA1A" w:rsidR="007432DC" w:rsidRPr="007432DC" w:rsidRDefault="007432DC" w:rsidP="007432D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5DE9" w14:textId="3B2CFB2F" w:rsidR="007432DC" w:rsidRDefault="007432DC">
    <w:pPr>
      <w:pStyle w:val="Footer"/>
      <w:jc w:val="center"/>
    </w:pPr>
  </w:p>
  <w:p w14:paraId="40DAC5A0" w14:textId="4FCA8761" w:rsidR="007432DC" w:rsidRDefault="009F5BE0" w:rsidP="007432DC">
    <w:pPr>
      <w:pStyle w:val="Footer"/>
    </w:pPr>
    <w:r w:rsidRPr="009F5BE0">
      <w:rPr>
        <w:sz w:val="16"/>
      </w:rPr>
      <w:t>{FRASERS/001/00062810.DOCX/2}</w:t>
    </w:r>
  </w:p>
  <w:p w14:paraId="54DD3E30" w14:textId="3343A16B" w:rsidR="000607D7" w:rsidRDefault="00060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499B" w14:textId="77777777" w:rsidR="00E01005" w:rsidRDefault="00E01005">
      <w:pPr>
        <w:rPr>
          <w:noProof/>
        </w:rPr>
      </w:pPr>
      <w:r>
        <w:rPr>
          <w:noProof/>
        </w:rPr>
        <w:separator/>
      </w:r>
    </w:p>
  </w:footnote>
  <w:footnote w:type="continuationSeparator" w:id="0">
    <w:p w14:paraId="31268DD2" w14:textId="77777777" w:rsidR="00E01005" w:rsidRDefault="00E01005">
      <w:r>
        <w:continuationSeparator/>
      </w:r>
    </w:p>
  </w:footnote>
  <w:footnote w:id="1">
    <w:p w14:paraId="66462627" w14:textId="5636141C" w:rsidR="0077057E" w:rsidRDefault="0077057E">
      <w:pPr>
        <w:pStyle w:val="FootnoteText"/>
      </w:pPr>
      <w:r>
        <w:rPr>
          <w:rStyle w:val="FootnoteReference"/>
        </w:rPr>
        <w:footnoteRef/>
      </w:r>
      <w:r>
        <w:t xml:space="preserve"> Capitalized terms not otherwise defined herein, shall have the definitions ascribed to those terms in the Plan. </w:t>
      </w:r>
    </w:p>
  </w:footnote>
  <w:footnote w:id="2">
    <w:p w14:paraId="54D4F734" w14:textId="4648CAE4" w:rsidR="003E15BD" w:rsidRDefault="003E15BD">
      <w:pPr>
        <w:pStyle w:val="FootnoteText"/>
      </w:pPr>
      <w:r>
        <w:rPr>
          <w:rStyle w:val="FootnoteReference"/>
        </w:rPr>
        <w:footnoteRef/>
      </w:r>
      <w:r>
        <w:t xml:space="preserve"> Amounts reported are rounded to the nearest dollar.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5332" w14:textId="77777777" w:rsidR="007432DC" w:rsidRDefault="00743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7326" w14:textId="77777777" w:rsidR="007432DC" w:rsidRDefault="00743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32BC" w14:textId="77777777" w:rsidR="007432DC" w:rsidRDefault="00743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C4763"/>
    <w:multiLevelType w:val="hybridMultilevel"/>
    <w:tmpl w:val="DB8C8105"/>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1CD6B64A"/>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D70A521E"/>
    <w:lvl w:ilvl="0">
      <w:start w:val="1"/>
      <w:numFmt w:val="decimal"/>
      <w:lvlText w:val="%1."/>
      <w:lvlJc w:val="left"/>
      <w:pPr>
        <w:tabs>
          <w:tab w:val="num" w:pos="720"/>
        </w:tabs>
        <w:ind w:left="720" w:hanging="360"/>
      </w:pPr>
    </w:lvl>
  </w:abstractNum>
  <w:abstractNum w:abstractNumId="3" w15:restartNumberingAfterBreak="0">
    <w:nsid w:val="FFFFFF88"/>
    <w:multiLevelType w:val="singleLevel"/>
    <w:tmpl w:val="193EE2B4"/>
    <w:lvl w:ilvl="0">
      <w:start w:val="1"/>
      <w:numFmt w:val="decimal"/>
      <w:lvlText w:val="%1."/>
      <w:lvlJc w:val="left"/>
      <w:pPr>
        <w:tabs>
          <w:tab w:val="num" w:pos="360"/>
        </w:tabs>
        <w:ind w:left="360" w:hanging="360"/>
      </w:pPr>
    </w:lvl>
  </w:abstractNum>
  <w:abstractNum w:abstractNumId="4" w15:restartNumberingAfterBreak="0">
    <w:nsid w:val="01182091"/>
    <w:multiLevelType w:val="multilevel"/>
    <w:tmpl w:val="3160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93954"/>
    <w:multiLevelType w:val="multilevel"/>
    <w:tmpl w:val="0766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A05F8"/>
    <w:multiLevelType w:val="multilevel"/>
    <w:tmpl w:val="5696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C5776"/>
    <w:multiLevelType w:val="hybridMultilevel"/>
    <w:tmpl w:val="DBA4D984"/>
    <w:lvl w:ilvl="0" w:tplc="3BE655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7F5134"/>
    <w:multiLevelType w:val="hybridMultilevel"/>
    <w:tmpl w:val="3AE61808"/>
    <w:lvl w:ilvl="0" w:tplc="494E8800">
      <w:start w:val="1"/>
      <w:numFmt w:val="bullet"/>
      <w:pStyle w:val="ListBullet3"/>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A2B66FC"/>
    <w:multiLevelType w:val="multilevel"/>
    <w:tmpl w:val="4CD2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F462A"/>
    <w:multiLevelType w:val="multilevel"/>
    <w:tmpl w:val="F762FC48"/>
    <w:lvl w:ilvl="0">
      <w:start w:val="1"/>
      <w:numFmt w:val="upperRoman"/>
      <w:lvlRestart w:val="0"/>
      <w:pStyle w:val="Corp1L1"/>
      <w:suff w:val="nothing"/>
      <w:lvlText w:val="SECTION %1."/>
      <w:lvlJc w:val="left"/>
      <w:pPr>
        <w:ind w:left="0" w:firstLine="0"/>
      </w:pPr>
      <w:rPr>
        <w:rFonts w:eastAsia="Times New Roman" w:hint="default"/>
        <w:b/>
        <w:i w:val="0"/>
        <w:caps w:val="0"/>
        <w:smallCaps w:val="0"/>
        <w:u w:val="none"/>
      </w:rPr>
    </w:lvl>
    <w:lvl w:ilvl="1">
      <w:start w:val="1"/>
      <w:numFmt w:val="decimal"/>
      <w:pStyle w:val="Corp1L2"/>
      <w:isLgl/>
      <w:lvlText w:val="Section %1.%2"/>
      <w:lvlJc w:val="left"/>
      <w:pPr>
        <w:tabs>
          <w:tab w:val="num" w:pos="2160"/>
        </w:tabs>
        <w:ind w:left="0" w:firstLine="720"/>
      </w:pPr>
      <w:rPr>
        <w:rFonts w:eastAsia="Times New Roman" w:hint="default"/>
        <w:b w:val="0"/>
        <w:i w:val="0"/>
        <w:caps w:val="0"/>
        <w:smallCaps w:val="0"/>
        <w:u w:val="none"/>
      </w:rPr>
    </w:lvl>
    <w:lvl w:ilvl="2">
      <w:start w:val="1"/>
      <w:numFmt w:val="upperLetter"/>
      <w:pStyle w:val="Corp1L3"/>
      <w:lvlText w:val="%3."/>
      <w:lvlJc w:val="left"/>
      <w:pPr>
        <w:tabs>
          <w:tab w:val="num" w:pos="1440"/>
        </w:tabs>
        <w:ind w:left="1440" w:hanging="720"/>
      </w:pPr>
      <w:rPr>
        <w:rFonts w:eastAsia="Times New Roman" w:hint="default"/>
        <w:b/>
        <w:i w:val="0"/>
        <w:caps w:val="0"/>
        <w:smallCaps w:val="0"/>
        <w:u w:val="none"/>
      </w:rPr>
    </w:lvl>
    <w:lvl w:ilvl="3">
      <w:start w:val="1"/>
      <w:numFmt w:val="decimal"/>
      <w:pStyle w:val="Corp1L4"/>
      <w:lvlText w:val="%4."/>
      <w:lvlJc w:val="left"/>
      <w:pPr>
        <w:tabs>
          <w:tab w:val="num" w:pos="2160"/>
        </w:tabs>
        <w:ind w:left="720" w:firstLine="720"/>
      </w:pPr>
      <w:rPr>
        <w:rFonts w:eastAsia="Times New Roman" w:hint="default"/>
        <w:b w:val="0"/>
        <w:i w:val="0"/>
        <w:caps w:val="0"/>
        <w:smallCaps w:val="0"/>
        <w:u w:val="none"/>
      </w:rPr>
    </w:lvl>
    <w:lvl w:ilvl="4">
      <w:start w:val="1"/>
      <w:numFmt w:val="lowerRoman"/>
      <w:pStyle w:val="Corp1L5"/>
      <w:lvlText w:val="(%5)"/>
      <w:lvlJc w:val="left"/>
      <w:pPr>
        <w:tabs>
          <w:tab w:val="num" w:pos="2160"/>
        </w:tabs>
        <w:ind w:left="2160" w:hanging="720"/>
      </w:pPr>
      <w:rPr>
        <w:rFonts w:eastAsia="Times New Roman" w:hint="default"/>
        <w:b w:val="0"/>
        <w:i w:val="0"/>
        <w:caps w:val="0"/>
        <w:smallCaps w:val="0"/>
        <w:u w:val="none"/>
      </w:rPr>
    </w:lvl>
    <w:lvl w:ilvl="5">
      <w:start w:val="1"/>
      <w:numFmt w:val="decimal"/>
      <w:pStyle w:val="Corp1L6"/>
      <w:lvlText w:val="(%6)"/>
      <w:lvlJc w:val="left"/>
      <w:pPr>
        <w:tabs>
          <w:tab w:val="num" w:pos="4320"/>
        </w:tabs>
        <w:ind w:left="2880" w:firstLine="720"/>
      </w:pPr>
      <w:rPr>
        <w:rFonts w:eastAsia="Times New Roman" w:hint="default"/>
        <w:b w:val="0"/>
        <w:i w:val="0"/>
        <w:caps w:val="0"/>
        <w:smallCaps w:val="0"/>
        <w:u w:val="none"/>
      </w:rPr>
    </w:lvl>
    <w:lvl w:ilvl="6">
      <w:start w:val="1"/>
      <w:numFmt w:val="lowerLetter"/>
      <w:lvlText w:val="(%7)"/>
      <w:lvlJc w:val="left"/>
      <w:pPr>
        <w:tabs>
          <w:tab w:val="num" w:pos="2160"/>
        </w:tabs>
        <w:ind w:left="0" w:firstLine="1440"/>
      </w:pPr>
      <w:rPr>
        <w:rFonts w:eastAsia="|mpNA|" w:hint="default"/>
        <w:b w:val="0"/>
        <w:i w:val="0"/>
        <w:caps w:val="0"/>
        <w:smallCaps w:val="0"/>
        <w:u w:val="none"/>
      </w:rPr>
    </w:lvl>
    <w:lvl w:ilvl="7">
      <w:start w:val="1"/>
      <w:numFmt w:val="lowerRoman"/>
      <w:lvlText w:val="(%8)"/>
      <w:lvlJc w:val="left"/>
      <w:pPr>
        <w:tabs>
          <w:tab w:val="num" w:pos="2880"/>
        </w:tabs>
        <w:ind w:left="0" w:firstLine="2160"/>
      </w:pPr>
      <w:rPr>
        <w:rFonts w:eastAsia="|mpNA|" w:hint="default"/>
        <w:b w:val="0"/>
        <w:i w:val="0"/>
        <w:caps w:val="0"/>
        <w:smallCaps w:val="0"/>
        <w:u w:val="none"/>
      </w:rPr>
    </w:lvl>
    <w:lvl w:ilvl="8">
      <w:start w:val="1"/>
      <w:numFmt w:val="decimal"/>
      <w:lvlText w:val="(%9)"/>
      <w:lvlJc w:val="left"/>
      <w:pPr>
        <w:tabs>
          <w:tab w:val="num" w:pos="3600"/>
        </w:tabs>
        <w:ind w:left="0" w:firstLine="2880"/>
      </w:pPr>
      <w:rPr>
        <w:rFonts w:eastAsia="|mpNA|" w:hint="default"/>
        <w:b w:val="0"/>
        <w:i w:val="0"/>
        <w:caps w:val="0"/>
        <w:smallCaps w:val="0"/>
        <w:u w:val="none"/>
      </w:rPr>
    </w:lvl>
  </w:abstractNum>
  <w:abstractNum w:abstractNumId="11" w15:restartNumberingAfterBreak="0">
    <w:nsid w:val="360A4B3D"/>
    <w:multiLevelType w:val="multilevel"/>
    <w:tmpl w:val="D46E3DDE"/>
    <w:name w:val="zzmpOutline"/>
    <w:lvl w:ilvl="0">
      <w:start w:val="1"/>
      <w:numFmt w:val="upperRoman"/>
      <w:lvlRestart w:val="0"/>
      <w:pStyle w:val="OutlineL1"/>
      <w:lvlText w:val="%1."/>
      <w:lvlJc w:val="left"/>
      <w:pPr>
        <w:tabs>
          <w:tab w:val="num" w:pos="720"/>
        </w:tabs>
        <w:ind w:left="0" w:firstLine="0"/>
      </w:pPr>
      <w:rPr>
        <w:rFonts w:ascii="Times New Roman" w:eastAsia="Times New Roman" w:hAnsi="Times New Roman" w:cs="Times New Roman"/>
        <w:b/>
        <w:i w:val="0"/>
        <w:caps/>
        <w:smallCaps w:val="0"/>
        <w:sz w:val="24"/>
        <w:u w:val="none"/>
      </w:rPr>
    </w:lvl>
    <w:lvl w:ilvl="1">
      <w:start w:val="1"/>
      <w:numFmt w:val="upperLetter"/>
      <w:pStyle w:val="OutlineL2"/>
      <w:lvlText w:val="%2."/>
      <w:lvlJc w:val="left"/>
      <w:pPr>
        <w:tabs>
          <w:tab w:val="num" w:pos="1440"/>
        </w:tabs>
        <w:ind w:left="0" w:firstLine="720"/>
      </w:pPr>
      <w:rPr>
        <w:rFonts w:ascii="Times New Roman" w:eastAsia="Times New Roman" w:hAnsi="Times New Roman" w:cs="Times New Roman"/>
        <w:b/>
        <w:i w:val="0"/>
        <w:caps w:val="0"/>
        <w:smallCaps w:val="0"/>
        <w:sz w:val="24"/>
        <w:u w:val="none"/>
      </w:rPr>
    </w:lvl>
    <w:lvl w:ilvl="2">
      <w:start w:val="1"/>
      <w:numFmt w:val="upperLetter"/>
      <w:pStyle w:val="OutlineL3"/>
      <w:lvlText w:val="%3."/>
      <w:lvlJc w:val="left"/>
      <w:pPr>
        <w:tabs>
          <w:tab w:val="num" w:pos="1440"/>
        </w:tabs>
        <w:ind w:left="0" w:firstLine="720"/>
      </w:pPr>
      <w:rPr>
        <w:rFonts w:ascii="Times New Roman" w:eastAsia="Times New Roman" w:hAnsi="Times New Roman" w:cs="Times New Roman"/>
        <w:b w:val="0"/>
        <w:i w:val="0"/>
        <w:caps w:val="0"/>
        <w:smallCaps w:val="0"/>
        <w:sz w:val="24"/>
        <w:u w:val="none"/>
      </w:rPr>
    </w:lvl>
    <w:lvl w:ilvl="3">
      <w:start w:val="1"/>
      <w:numFmt w:val="lowerLetter"/>
      <w:pStyle w:val="OutlineL4"/>
      <w:lvlText w:val="%4."/>
      <w:lvlJc w:val="left"/>
      <w:pPr>
        <w:tabs>
          <w:tab w:val="num" w:pos="2880"/>
        </w:tabs>
        <w:ind w:left="0" w:firstLine="2160"/>
      </w:pPr>
      <w:rPr>
        <w:rFonts w:ascii="Times New Roman" w:eastAsia="Times New Roman" w:hAnsi="Times New Roman" w:cs="Times New Roman"/>
        <w:b w:val="0"/>
        <w:i w:val="0"/>
        <w:caps w:val="0"/>
        <w:smallCaps w:val="0"/>
        <w:sz w:val="24"/>
        <w:u w:val="none"/>
      </w:rPr>
    </w:lvl>
    <w:lvl w:ilvl="4">
      <w:start w:val="1"/>
      <w:numFmt w:val="lowerRoman"/>
      <w:pStyle w:val="OutlineL5"/>
      <w:lvlText w:val="(%5)"/>
      <w:lvlJc w:val="left"/>
      <w:pPr>
        <w:tabs>
          <w:tab w:val="num" w:pos="3600"/>
        </w:tabs>
        <w:ind w:left="0" w:firstLine="2880"/>
      </w:pPr>
      <w:rPr>
        <w:rFonts w:ascii="Times New Roman" w:eastAsia="Times New Roman" w:hAnsi="Times New Roman" w:cs="Times New Roman"/>
        <w:b w:val="0"/>
        <w:i w:val="0"/>
        <w:caps w:val="0"/>
        <w:smallCaps w:val="0"/>
        <w:sz w:val="24"/>
        <w:u w:val="none"/>
      </w:rPr>
    </w:lvl>
    <w:lvl w:ilvl="5">
      <w:start w:val="1"/>
      <w:numFmt w:val="lowerLetter"/>
      <w:pStyle w:val="OutlineL6"/>
      <w:lvlText w:val="(%6)"/>
      <w:lvlJc w:val="left"/>
      <w:pPr>
        <w:tabs>
          <w:tab w:val="num" w:pos="4320"/>
        </w:tabs>
        <w:ind w:left="0" w:firstLine="3600"/>
      </w:pPr>
      <w:rPr>
        <w:rFonts w:ascii="Times New Roman" w:eastAsia="Times New Roman" w:hAnsi="Times New Roman" w:cs="Times New Roman"/>
        <w:b w:val="0"/>
        <w:i w:val="0"/>
        <w:caps w:val="0"/>
        <w:smallCaps w:val="0"/>
        <w:sz w:val="24"/>
        <w:u w:val="none"/>
      </w:rPr>
    </w:lvl>
    <w:lvl w:ilvl="6">
      <w:start w:val="1"/>
      <w:numFmt w:val="decimal"/>
      <w:pStyle w:val="OutlineL7"/>
      <w:lvlText w:val="(%7)"/>
      <w:lvlJc w:val="left"/>
      <w:pPr>
        <w:tabs>
          <w:tab w:val="num" w:pos="5040"/>
        </w:tabs>
        <w:ind w:left="0" w:firstLine="4320"/>
      </w:pPr>
      <w:rPr>
        <w:rFonts w:ascii="Times New Roman" w:eastAsia="Times New Roman" w:hAnsi="Times New Roman" w:cs="Times New Roman"/>
        <w:b w:val="0"/>
        <w:i w:val="0"/>
        <w:caps w:val="0"/>
        <w:smallCaps w:val="0"/>
        <w:sz w:val="24"/>
        <w:u w:val="none"/>
      </w:rPr>
    </w:lvl>
    <w:lvl w:ilvl="7">
      <w:start w:val="1"/>
      <w:numFmt w:val="lowerRoman"/>
      <w:pStyle w:val="OutlineL8"/>
      <w:lvlText w:val="%8)"/>
      <w:lvlJc w:val="left"/>
      <w:pPr>
        <w:tabs>
          <w:tab w:val="num" w:pos="5760"/>
        </w:tabs>
        <w:ind w:left="0" w:firstLine="5040"/>
      </w:pPr>
      <w:rPr>
        <w:rFonts w:ascii="Times New Roman" w:eastAsia="Times New Roman" w:hAnsi="Times New Roman" w:cs="Times New Roman"/>
        <w:b w:val="0"/>
        <w:i w:val="0"/>
        <w:caps w:val="0"/>
        <w:smallCaps w:val="0"/>
        <w:sz w:val="24"/>
        <w:u w:val="none"/>
      </w:rPr>
    </w:lvl>
    <w:lvl w:ilvl="8">
      <w:start w:val="1"/>
      <w:numFmt w:val="lowerLetter"/>
      <w:pStyle w:val="OutlineL9"/>
      <w:lvlText w:val="%9)"/>
      <w:lvlJc w:val="left"/>
      <w:pPr>
        <w:tabs>
          <w:tab w:val="num" w:pos="6480"/>
        </w:tabs>
        <w:ind w:left="0" w:firstLine="5760"/>
      </w:pPr>
      <w:rPr>
        <w:rFonts w:ascii="Times New Roman" w:eastAsia="Times New Roman" w:hAnsi="Times New Roman" w:cs="Times New Roman"/>
        <w:b w:val="0"/>
        <w:i w:val="0"/>
        <w:caps w:val="0"/>
        <w:smallCaps w:val="0"/>
        <w:sz w:val="24"/>
        <w:u w:val="none"/>
      </w:rPr>
    </w:lvl>
  </w:abstractNum>
  <w:abstractNum w:abstractNumId="12" w15:restartNumberingAfterBreak="0">
    <w:nsid w:val="45227D46"/>
    <w:multiLevelType w:val="multilevel"/>
    <w:tmpl w:val="5ECE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136CE"/>
    <w:multiLevelType w:val="multilevel"/>
    <w:tmpl w:val="6FD6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857AE"/>
    <w:multiLevelType w:val="hybridMultilevel"/>
    <w:tmpl w:val="F72CD8AA"/>
    <w:lvl w:ilvl="0" w:tplc="F7681398">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51671B7"/>
    <w:multiLevelType w:val="hybridMultilevel"/>
    <w:tmpl w:val="7E60CFBA"/>
    <w:lvl w:ilvl="0" w:tplc="C8D659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15F89"/>
    <w:multiLevelType w:val="hybridMultilevel"/>
    <w:tmpl w:val="AF3885D8"/>
    <w:lvl w:ilvl="0" w:tplc="98269800">
      <w:start w:val="1"/>
      <w:numFmt w:val="decimal"/>
      <w:pStyle w:val="ListNumber"/>
      <w:lvlText w:val="%1."/>
      <w:lvlJc w:val="left"/>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CE7E63D4">
      <w:start w:val="1"/>
      <w:numFmt w:val="bullet"/>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E6104CE"/>
    <w:multiLevelType w:val="multilevel"/>
    <w:tmpl w:val="0872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585114"/>
    <w:multiLevelType w:val="multilevel"/>
    <w:tmpl w:val="7AA4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645F3"/>
    <w:multiLevelType w:val="multilevel"/>
    <w:tmpl w:val="8B02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3789F"/>
    <w:multiLevelType w:val="hybridMultilevel"/>
    <w:tmpl w:val="7E364A04"/>
    <w:lvl w:ilvl="0" w:tplc="254C38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0E0E80"/>
    <w:multiLevelType w:val="multilevel"/>
    <w:tmpl w:val="FB3C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12"/>
  </w:num>
  <w:num w:numId="4">
    <w:abstractNumId w:val="11"/>
  </w:num>
  <w:num w:numId="5">
    <w:abstractNumId w:val="8"/>
  </w:num>
  <w:num w:numId="6">
    <w:abstractNumId w:val="2"/>
  </w:num>
  <w:num w:numId="7">
    <w:abstractNumId w:val="5"/>
  </w:num>
  <w:num w:numId="8">
    <w:abstractNumId w:val="20"/>
  </w:num>
  <w:num w:numId="9">
    <w:abstractNumId w:val="14"/>
  </w:num>
  <w:num w:numId="10">
    <w:abstractNumId w:val="19"/>
  </w:num>
  <w:num w:numId="11">
    <w:abstractNumId w:val="1"/>
  </w:num>
  <w:num w:numId="12">
    <w:abstractNumId w:val="10"/>
  </w:num>
  <w:num w:numId="13">
    <w:abstractNumId w:val="13"/>
  </w:num>
  <w:num w:numId="14">
    <w:abstractNumId w:val="18"/>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6"/>
  </w:num>
  <w:num w:numId="23">
    <w:abstractNumId w:val="21"/>
  </w:num>
  <w:num w:numId="24">
    <w:abstractNumId w:val="4"/>
  </w:num>
  <w:num w:numId="25">
    <w:abstractNumId w:val="17"/>
  </w:num>
  <w:num w:numId="26">
    <w:abstractNumId w:val="15"/>
  </w:num>
  <w:num w:numId="27">
    <w:abstractNumId w:val="7"/>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2C"/>
    <w:rsid w:val="000008C3"/>
    <w:rsid w:val="000035D7"/>
    <w:rsid w:val="00007486"/>
    <w:rsid w:val="0001104F"/>
    <w:rsid w:val="00013C8B"/>
    <w:rsid w:val="00017935"/>
    <w:rsid w:val="00020696"/>
    <w:rsid w:val="00020D0C"/>
    <w:rsid w:val="00022D9D"/>
    <w:rsid w:val="00023495"/>
    <w:rsid w:val="0002735D"/>
    <w:rsid w:val="00027C90"/>
    <w:rsid w:val="00031A21"/>
    <w:rsid w:val="00036725"/>
    <w:rsid w:val="00045E00"/>
    <w:rsid w:val="000503C8"/>
    <w:rsid w:val="00051DA6"/>
    <w:rsid w:val="000545D2"/>
    <w:rsid w:val="000573BF"/>
    <w:rsid w:val="000607D7"/>
    <w:rsid w:val="00060FBF"/>
    <w:rsid w:val="00063023"/>
    <w:rsid w:val="00066C18"/>
    <w:rsid w:val="000708FE"/>
    <w:rsid w:val="00070CC9"/>
    <w:rsid w:val="00071525"/>
    <w:rsid w:val="00077E61"/>
    <w:rsid w:val="00080B61"/>
    <w:rsid w:val="00080B6C"/>
    <w:rsid w:val="0008668A"/>
    <w:rsid w:val="0008787D"/>
    <w:rsid w:val="00092814"/>
    <w:rsid w:val="00095DF9"/>
    <w:rsid w:val="000A094C"/>
    <w:rsid w:val="000A2027"/>
    <w:rsid w:val="000A3C55"/>
    <w:rsid w:val="000A5955"/>
    <w:rsid w:val="000A7268"/>
    <w:rsid w:val="000A7451"/>
    <w:rsid w:val="000B0047"/>
    <w:rsid w:val="000B3A97"/>
    <w:rsid w:val="000B548F"/>
    <w:rsid w:val="000C1C4E"/>
    <w:rsid w:val="000C20F5"/>
    <w:rsid w:val="000C2278"/>
    <w:rsid w:val="000C3457"/>
    <w:rsid w:val="000C402C"/>
    <w:rsid w:val="000C56B2"/>
    <w:rsid w:val="000C6B2A"/>
    <w:rsid w:val="000D0E31"/>
    <w:rsid w:val="000D38C6"/>
    <w:rsid w:val="000D3A77"/>
    <w:rsid w:val="000D3C0A"/>
    <w:rsid w:val="000D43C3"/>
    <w:rsid w:val="000D5256"/>
    <w:rsid w:val="000E09D0"/>
    <w:rsid w:val="000E2B20"/>
    <w:rsid w:val="000E4F2F"/>
    <w:rsid w:val="000E6277"/>
    <w:rsid w:val="000E6DA2"/>
    <w:rsid w:val="000F0454"/>
    <w:rsid w:val="000F1B31"/>
    <w:rsid w:val="000F262D"/>
    <w:rsid w:val="000F2A45"/>
    <w:rsid w:val="000F2FAA"/>
    <w:rsid w:val="000F5B3F"/>
    <w:rsid w:val="000F6F87"/>
    <w:rsid w:val="000F7964"/>
    <w:rsid w:val="001003C0"/>
    <w:rsid w:val="00100FE7"/>
    <w:rsid w:val="00103EE8"/>
    <w:rsid w:val="00104455"/>
    <w:rsid w:val="0010496F"/>
    <w:rsid w:val="00104A04"/>
    <w:rsid w:val="00105280"/>
    <w:rsid w:val="0010596F"/>
    <w:rsid w:val="00111E82"/>
    <w:rsid w:val="0011379A"/>
    <w:rsid w:val="0011422C"/>
    <w:rsid w:val="00115C0E"/>
    <w:rsid w:val="0011681D"/>
    <w:rsid w:val="00117E3B"/>
    <w:rsid w:val="001218C4"/>
    <w:rsid w:val="00133E81"/>
    <w:rsid w:val="00135D75"/>
    <w:rsid w:val="0013614C"/>
    <w:rsid w:val="00136939"/>
    <w:rsid w:val="00136B0E"/>
    <w:rsid w:val="00137C14"/>
    <w:rsid w:val="0014205C"/>
    <w:rsid w:val="0014271D"/>
    <w:rsid w:val="0014636A"/>
    <w:rsid w:val="00147D68"/>
    <w:rsid w:val="00150D33"/>
    <w:rsid w:val="00155261"/>
    <w:rsid w:val="001578F5"/>
    <w:rsid w:val="0016085E"/>
    <w:rsid w:val="00163BD3"/>
    <w:rsid w:val="00163BE9"/>
    <w:rsid w:val="00170618"/>
    <w:rsid w:val="00174D4F"/>
    <w:rsid w:val="00176069"/>
    <w:rsid w:val="001760BD"/>
    <w:rsid w:val="001774AD"/>
    <w:rsid w:val="00184C8F"/>
    <w:rsid w:val="00184F05"/>
    <w:rsid w:val="0019260C"/>
    <w:rsid w:val="00196748"/>
    <w:rsid w:val="001A5B60"/>
    <w:rsid w:val="001A6D55"/>
    <w:rsid w:val="001B28F8"/>
    <w:rsid w:val="001B3ADA"/>
    <w:rsid w:val="001B62A3"/>
    <w:rsid w:val="001C05B5"/>
    <w:rsid w:val="001C2600"/>
    <w:rsid w:val="001C35CA"/>
    <w:rsid w:val="001C7B57"/>
    <w:rsid w:val="001D4119"/>
    <w:rsid w:val="001D529A"/>
    <w:rsid w:val="001E04AA"/>
    <w:rsid w:val="001E0A9B"/>
    <w:rsid w:val="001E3F56"/>
    <w:rsid w:val="001E4E2D"/>
    <w:rsid w:val="001E5F55"/>
    <w:rsid w:val="001F1473"/>
    <w:rsid w:val="001F2ECB"/>
    <w:rsid w:val="001F5245"/>
    <w:rsid w:val="001F53A9"/>
    <w:rsid w:val="001F6CBD"/>
    <w:rsid w:val="001F70D5"/>
    <w:rsid w:val="001F71D1"/>
    <w:rsid w:val="001F73E6"/>
    <w:rsid w:val="0020003E"/>
    <w:rsid w:val="00202F0B"/>
    <w:rsid w:val="0021124A"/>
    <w:rsid w:val="00216624"/>
    <w:rsid w:val="00216C39"/>
    <w:rsid w:val="002219E4"/>
    <w:rsid w:val="002259AC"/>
    <w:rsid w:val="002267E8"/>
    <w:rsid w:val="0023123A"/>
    <w:rsid w:val="0023195B"/>
    <w:rsid w:val="00234CA4"/>
    <w:rsid w:val="00241768"/>
    <w:rsid w:val="00242631"/>
    <w:rsid w:val="002449BD"/>
    <w:rsid w:val="00246D49"/>
    <w:rsid w:val="00246E5D"/>
    <w:rsid w:val="00247232"/>
    <w:rsid w:val="002544C3"/>
    <w:rsid w:val="00257A70"/>
    <w:rsid w:val="00260F54"/>
    <w:rsid w:val="00261152"/>
    <w:rsid w:val="00261E01"/>
    <w:rsid w:val="00262564"/>
    <w:rsid w:val="00263F5F"/>
    <w:rsid w:val="0026736C"/>
    <w:rsid w:val="00270441"/>
    <w:rsid w:val="00271370"/>
    <w:rsid w:val="00271E45"/>
    <w:rsid w:val="00271F68"/>
    <w:rsid w:val="00273506"/>
    <w:rsid w:val="00274462"/>
    <w:rsid w:val="00274BC9"/>
    <w:rsid w:val="0027610F"/>
    <w:rsid w:val="002804EB"/>
    <w:rsid w:val="002818D8"/>
    <w:rsid w:val="00281ABA"/>
    <w:rsid w:val="0028533E"/>
    <w:rsid w:val="00290672"/>
    <w:rsid w:val="00292778"/>
    <w:rsid w:val="002938D3"/>
    <w:rsid w:val="00293CFC"/>
    <w:rsid w:val="00294213"/>
    <w:rsid w:val="00295122"/>
    <w:rsid w:val="00296346"/>
    <w:rsid w:val="00296E15"/>
    <w:rsid w:val="002A2108"/>
    <w:rsid w:val="002A3833"/>
    <w:rsid w:val="002A7E1E"/>
    <w:rsid w:val="002B1056"/>
    <w:rsid w:val="002B14CF"/>
    <w:rsid w:val="002B1942"/>
    <w:rsid w:val="002B1AEA"/>
    <w:rsid w:val="002B40BB"/>
    <w:rsid w:val="002B6E05"/>
    <w:rsid w:val="002B773A"/>
    <w:rsid w:val="002C05C2"/>
    <w:rsid w:val="002C31E9"/>
    <w:rsid w:val="002C3F0B"/>
    <w:rsid w:val="002C519D"/>
    <w:rsid w:val="002C5421"/>
    <w:rsid w:val="002C7C39"/>
    <w:rsid w:val="002C7E04"/>
    <w:rsid w:val="002D534C"/>
    <w:rsid w:val="002E15D5"/>
    <w:rsid w:val="002E1CD4"/>
    <w:rsid w:val="002E327A"/>
    <w:rsid w:val="002E61DD"/>
    <w:rsid w:val="002E6FC3"/>
    <w:rsid w:val="002E764F"/>
    <w:rsid w:val="002E7D4D"/>
    <w:rsid w:val="002E7EB4"/>
    <w:rsid w:val="002F06B1"/>
    <w:rsid w:val="002F2FFA"/>
    <w:rsid w:val="002F35BD"/>
    <w:rsid w:val="002F5F4F"/>
    <w:rsid w:val="002F6C81"/>
    <w:rsid w:val="00302D97"/>
    <w:rsid w:val="00303971"/>
    <w:rsid w:val="00305588"/>
    <w:rsid w:val="00305944"/>
    <w:rsid w:val="00312687"/>
    <w:rsid w:val="00315978"/>
    <w:rsid w:val="00320F43"/>
    <w:rsid w:val="003244B7"/>
    <w:rsid w:val="00335BE9"/>
    <w:rsid w:val="00336531"/>
    <w:rsid w:val="003375DF"/>
    <w:rsid w:val="003378A7"/>
    <w:rsid w:val="003413B0"/>
    <w:rsid w:val="00341D67"/>
    <w:rsid w:val="00341FEC"/>
    <w:rsid w:val="003438F3"/>
    <w:rsid w:val="00344F7E"/>
    <w:rsid w:val="00345627"/>
    <w:rsid w:val="00346439"/>
    <w:rsid w:val="00346DBE"/>
    <w:rsid w:val="00350EC8"/>
    <w:rsid w:val="00352B5F"/>
    <w:rsid w:val="00356BFC"/>
    <w:rsid w:val="003609F3"/>
    <w:rsid w:val="00370C1D"/>
    <w:rsid w:val="0037167C"/>
    <w:rsid w:val="0037482F"/>
    <w:rsid w:val="00374F5C"/>
    <w:rsid w:val="00377411"/>
    <w:rsid w:val="00380B6A"/>
    <w:rsid w:val="0038459D"/>
    <w:rsid w:val="003868D1"/>
    <w:rsid w:val="00386FC7"/>
    <w:rsid w:val="00393DBA"/>
    <w:rsid w:val="00396E6C"/>
    <w:rsid w:val="00397FC1"/>
    <w:rsid w:val="003A035C"/>
    <w:rsid w:val="003A234E"/>
    <w:rsid w:val="003A307F"/>
    <w:rsid w:val="003A3DEB"/>
    <w:rsid w:val="003A6F07"/>
    <w:rsid w:val="003B0A8C"/>
    <w:rsid w:val="003B15CB"/>
    <w:rsid w:val="003B20A5"/>
    <w:rsid w:val="003B2BC9"/>
    <w:rsid w:val="003B3E5A"/>
    <w:rsid w:val="003B7201"/>
    <w:rsid w:val="003C06BA"/>
    <w:rsid w:val="003C254C"/>
    <w:rsid w:val="003C2DAA"/>
    <w:rsid w:val="003D0223"/>
    <w:rsid w:val="003D528D"/>
    <w:rsid w:val="003E014D"/>
    <w:rsid w:val="003E15BD"/>
    <w:rsid w:val="003E1A04"/>
    <w:rsid w:val="003E4633"/>
    <w:rsid w:val="003E75AE"/>
    <w:rsid w:val="003E7762"/>
    <w:rsid w:val="003F0786"/>
    <w:rsid w:val="003F0C30"/>
    <w:rsid w:val="003F18B3"/>
    <w:rsid w:val="003F1CBB"/>
    <w:rsid w:val="003F7340"/>
    <w:rsid w:val="00406247"/>
    <w:rsid w:val="00406E18"/>
    <w:rsid w:val="0041699C"/>
    <w:rsid w:val="00420FDF"/>
    <w:rsid w:val="004306E4"/>
    <w:rsid w:val="00431428"/>
    <w:rsid w:val="0043318F"/>
    <w:rsid w:val="00435A19"/>
    <w:rsid w:val="004364FA"/>
    <w:rsid w:val="00436B65"/>
    <w:rsid w:val="004372A9"/>
    <w:rsid w:val="00442391"/>
    <w:rsid w:val="0044396D"/>
    <w:rsid w:val="00445ECE"/>
    <w:rsid w:val="00454052"/>
    <w:rsid w:val="00457B27"/>
    <w:rsid w:val="00461D7C"/>
    <w:rsid w:val="00462CF0"/>
    <w:rsid w:val="00462DEC"/>
    <w:rsid w:val="00464BB8"/>
    <w:rsid w:val="00465574"/>
    <w:rsid w:val="00474DA0"/>
    <w:rsid w:val="00475BFA"/>
    <w:rsid w:val="00477C41"/>
    <w:rsid w:val="00481245"/>
    <w:rsid w:val="00486506"/>
    <w:rsid w:val="00486641"/>
    <w:rsid w:val="004873C6"/>
    <w:rsid w:val="0049594C"/>
    <w:rsid w:val="00495D38"/>
    <w:rsid w:val="004962EF"/>
    <w:rsid w:val="0049786E"/>
    <w:rsid w:val="004A158B"/>
    <w:rsid w:val="004A18FF"/>
    <w:rsid w:val="004A28F5"/>
    <w:rsid w:val="004A619E"/>
    <w:rsid w:val="004A6E91"/>
    <w:rsid w:val="004A7AFD"/>
    <w:rsid w:val="004B4C2E"/>
    <w:rsid w:val="004B52F8"/>
    <w:rsid w:val="004C0025"/>
    <w:rsid w:val="004C139D"/>
    <w:rsid w:val="004C2846"/>
    <w:rsid w:val="004D18BD"/>
    <w:rsid w:val="004D2399"/>
    <w:rsid w:val="004D3283"/>
    <w:rsid w:val="004D46E4"/>
    <w:rsid w:val="004D5E08"/>
    <w:rsid w:val="004E2CF2"/>
    <w:rsid w:val="004E7917"/>
    <w:rsid w:val="004E7A87"/>
    <w:rsid w:val="004F2593"/>
    <w:rsid w:val="004F2A2A"/>
    <w:rsid w:val="004F3EBD"/>
    <w:rsid w:val="004F6A04"/>
    <w:rsid w:val="004F71BA"/>
    <w:rsid w:val="00500254"/>
    <w:rsid w:val="00510262"/>
    <w:rsid w:val="005109BB"/>
    <w:rsid w:val="00515D5A"/>
    <w:rsid w:val="00517D52"/>
    <w:rsid w:val="005225D5"/>
    <w:rsid w:val="005260EA"/>
    <w:rsid w:val="00532632"/>
    <w:rsid w:val="00536A3E"/>
    <w:rsid w:val="00537CA9"/>
    <w:rsid w:val="00545B05"/>
    <w:rsid w:val="00545B66"/>
    <w:rsid w:val="00550DB5"/>
    <w:rsid w:val="00551559"/>
    <w:rsid w:val="00553146"/>
    <w:rsid w:val="0055338D"/>
    <w:rsid w:val="00553DB4"/>
    <w:rsid w:val="00555223"/>
    <w:rsid w:val="00556AEC"/>
    <w:rsid w:val="0056095B"/>
    <w:rsid w:val="0056159D"/>
    <w:rsid w:val="00562D1B"/>
    <w:rsid w:val="00565E88"/>
    <w:rsid w:val="005703C5"/>
    <w:rsid w:val="00573E72"/>
    <w:rsid w:val="00575F34"/>
    <w:rsid w:val="00575F66"/>
    <w:rsid w:val="0057728C"/>
    <w:rsid w:val="005775FA"/>
    <w:rsid w:val="0058014C"/>
    <w:rsid w:val="00580A76"/>
    <w:rsid w:val="00582209"/>
    <w:rsid w:val="00582B2D"/>
    <w:rsid w:val="00583F40"/>
    <w:rsid w:val="0058481F"/>
    <w:rsid w:val="00586BB0"/>
    <w:rsid w:val="00597E1E"/>
    <w:rsid w:val="005A014E"/>
    <w:rsid w:val="005A0476"/>
    <w:rsid w:val="005A29FE"/>
    <w:rsid w:val="005A3F82"/>
    <w:rsid w:val="005A48F1"/>
    <w:rsid w:val="005A547E"/>
    <w:rsid w:val="005A75C4"/>
    <w:rsid w:val="005A7DBB"/>
    <w:rsid w:val="005B320E"/>
    <w:rsid w:val="005B3463"/>
    <w:rsid w:val="005B62CC"/>
    <w:rsid w:val="005B69C0"/>
    <w:rsid w:val="005B6F7F"/>
    <w:rsid w:val="005B7043"/>
    <w:rsid w:val="005B77B2"/>
    <w:rsid w:val="005C093E"/>
    <w:rsid w:val="005C16D5"/>
    <w:rsid w:val="005C266C"/>
    <w:rsid w:val="005C5F06"/>
    <w:rsid w:val="005C641E"/>
    <w:rsid w:val="005D0502"/>
    <w:rsid w:val="005D2C9E"/>
    <w:rsid w:val="005D2D91"/>
    <w:rsid w:val="005D4902"/>
    <w:rsid w:val="005D5BF5"/>
    <w:rsid w:val="005D79C0"/>
    <w:rsid w:val="005E0629"/>
    <w:rsid w:val="005E2CA1"/>
    <w:rsid w:val="005E78BD"/>
    <w:rsid w:val="005E78BE"/>
    <w:rsid w:val="005F6B27"/>
    <w:rsid w:val="006011F5"/>
    <w:rsid w:val="00602011"/>
    <w:rsid w:val="00602B10"/>
    <w:rsid w:val="006052BB"/>
    <w:rsid w:val="00610592"/>
    <w:rsid w:val="00613D5B"/>
    <w:rsid w:val="00614D02"/>
    <w:rsid w:val="00616727"/>
    <w:rsid w:val="00620C30"/>
    <w:rsid w:val="006220AF"/>
    <w:rsid w:val="00627061"/>
    <w:rsid w:val="0063054D"/>
    <w:rsid w:val="006307DE"/>
    <w:rsid w:val="0063612B"/>
    <w:rsid w:val="006371E6"/>
    <w:rsid w:val="00643671"/>
    <w:rsid w:val="00645413"/>
    <w:rsid w:val="0064722A"/>
    <w:rsid w:val="006512E8"/>
    <w:rsid w:val="00652129"/>
    <w:rsid w:val="00655CDD"/>
    <w:rsid w:val="00655FE5"/>
    <w:rsid w:val="006564ED"/>
    <w:rsid w:val="0065784C"/>
    <w:rsid w:val="006630C0"/>
    <w:rsid w:val="00663D91"/>
    <w:rsid w:val="00674930"/>
    <w:rsid w:val="00676AF3"/>
    <w:rsid w:val="006809EA"/>
    <w:rsid w:val="00680F27"/>
    <w:rsid w:val="00681216"/>
    <w:rsid w:val="00686F33"/>
    <w:rsid w:val="006877D9"/>
    <w:rsid w:val="006906A1"/>
    <w:rsid w:val="00691724"/>
    <w:rsid w:val="00692B88"/>
    <w:rsid w:val="0069543C"/>
    <w:rsid w:val="0069562D"/>
    <w:rsid w:val="00695BAB"/>
    <w:rsid w:val="006977A7"/>
    <w:rsid w:val="006A212E"/>
    <w:rsid w:val="006A4ACE"/>
    <w:rsid w:val="006A4F38"/>
    <w:rsid w:val="006A7A09"/>
    <w:rsid w:val="006A7E64"/>
    <w:rsid w:val="006B0539"/>
    <w:rsid w:val="006B0B3B"/>
    <w:rsid w:val="006B0CDE"/>
    <w:rsid w:val="006B32D2"/>
    <w:rsid w:val="006B40F5"/>
    <w:rsid w:val="006B42DB"/>
    <w:rsid w:val="006B61A9"/>
    <w:rsid w:val="006C1ED8"/>
    <w:rsid w:val="006C3A32"/>
    <w:rsid w:val="006C4B34"/>
    <w:rsid w:val="006C69C9"/>
    <w:rsid w:val="006D08BC"/>
    <w:rsid w:val="006D08D9"/>
    <w:rsid w:val="006D4299"/>
    <w:rsid w:val="006D5A84"/>
    <w:rsid w:val="006F0E35"/>
    <w:rsid w:val="006F17C1"/>
    <w:rsid w:val="006F1C2B"/>
    <w:rsid w:val="006F7831"/>
    <w:rsid w:val="00700EED"/>
    <w:rsid w:val="00705493"/>
    <w:rsid w:val="00705FEC"/>
    <w:rsid w:val="00706567"/>
    <w:rsid w:val="007068D2"/>
    <w:rsid w:val="00707C71"/>
    <w:rsid w:val="00716CD4"/>
    <w:rsid w:val="0071748C"/>
    <w:rsid w:val="00717EA7"/>
    <w:rsid w:val="00720458"/>
    <w:rsid w:val="00723B94"/>
    <w:rsid w:val="00724B8A"/>
    <w:rsid w:val="00731D8E"/>
    <w:rsid w:val="00731EF9"/>
    <w:rsid w:val="00734BC2"/>
    <w:rsid w:val="00736AC2"/>
    <w:rsid w:val="00737467"/>
    <w:rsid w:val="00737A5F"/>
    <w:rsid w:val="00741F19"/>
    <w:rsid w:val="007432DC"/>
    <w:rsid w:val="00743B45"/>
    <w:rsid w:val="00744AB7"/>
    <w:rsid w:val="00753525"/>
    <w:rsid w:val="00753BA8"/>
    <w:rsid w:val="00753D3E"/>
    <w:rsid w:val="0075423A"/>
    <w:rsid w:val="00755741"/>
    <w:rsid w:val="00761662"/>
    <w:rsid w:val="00763CF0"/>
    <w:rsid w:val="00764E22"/>
    <w:rsid w:val="0077057E"/>
    <w:rsid w:val="00771944"/>
    <w:rsid w:val="00772C21"/>
    <w:rsid w:val="0077334B"/>
    <w:rsid w:val="0077364C"/>
    <w:rsid w:val="00777864"/>
    <w:rsid w:val="00780D08"/>
    <w:rsid w:val="0078227D"/>
    <w:rsid w:val="0078258C"/>
    <w:rsid w:val="007841C3"/>
    <w:rsid w:val="00785927"/>
    <w:rsid w:val="00790957"/>
    <w:rsid w:val="00793532"/>
    <w:rsid w:val="00795306"/>
    <w:rsid w:val="007A4389"/>
    <w:rsid w:val="007B076F"/>
    <w:rsid w:val="007B0D02"/>
    <w:rsid w:val="007B3902"/>
    <w:rsid w:val="007B707F"/>
    <w:rsid w:val="007C1620"/>
    <w:rsid w:val="007C1E5E"/>
    <w:rsid w:val="007C6D8B"/>
    <w:rsid w:val="007D34E1"/>
    <w:rsid w:val="007E04BB"/>
    <w:rsid w:val="007E1BB0"/>
    <w:rsid w:val="007E41FC"/>
    <w:rsid w:val="007E436F"/>
    <w:rsid w:val="007F0CBB"/>
    <w:rsid w:val="007F2163"/>
    <w:rsid w:val="007F244B"/>
    <w:rsid w:val="007F447D"/>
    <w:rsid w:val="008004DC"/>
    <w:rsid w:val="00801AE4"/>
    <w:rsid w:val="00802699"/>
    <w:rsid w:val="00805D7B"/>
    <w:rsid w:val="008061D3"/>
    <w:rsid w:val="0080756E"/>
    <w:rsid w:val="00812FE8"/>
    <w:rsid w:val="00813840"/>
    <w:rsid w:val="00820084"/>
    <w:rsid w:val="0082598D"/>
    <w:rsid w:val="00825B89"/>
    <w:rsid w:val="008312FA"/>
    <w:rsid w:val="008317B9"/>
    <w:rsid w:val="00831A07"/>
    <w:rsid w:val="008322F4"/>
    <w:rsid w:val="0083708E"/>
    <w:rsid w:val="008406B9"/>
    <w:rsid w:val="0084356A"/>
    <w:rsid w:val="00843BC9"/>
    <w:rsid w:val="0084692D"/>
    <w:rsid w:val="00846B2D"/>
    <w:rsid w:val="00853384"/>
    <w:rsid w:val="008569F7"/>
    <w:rsid w:val="00856A49"/>
    <w:rsid w:val="008573AB"/>
    <w:rsid w:val="00877FE4"/>
    <w:rsid w:val="0088454B"/>
    <w:rsid w:val="0088597D"/>
    <w:rsid w:val="0088697F"/>
    <w:rsid w:val="008921A5"/>
    <w:rsid w:val="00892523"/>
    <w:rsid w:val="00893313"/>
    <w:rsid w:val="00893425"/>
    <w:rsid w:val="00894CB7"/>
    <w:rsid w:val="0089507A"/>
    <w:rsid w:val="0089623C"/>
    <w:rsid w:val="008A0FDB"/>
    <w:rsid w:val="008A3351"/>
    <w:rsid w:val="008A7C00"/>
    <w:rsid w:val="008B08F3"/>
    <w:rsid w:val="008B3EAC"/>
    <w:rsid w:val="008B4439"/>
    <w:rsid w:val="008B6A39"/>
    <w:rsid w:val="008B6A84"/>
    <w:rsid w:val="008B6C85"/>
    <w:rsid w:val="008B7D41"/>
    <w:rsid w:val="008C41A1"/>
    <w:rsid w:val="008C652F"/>
    <w:rsid w:val="008D22B8"/>
    <w:rsid w:val="008D30A6"/>
    <w:rsid w:val="008D32DC"/>
    <w:rsid w:val="008D33F4"/>
    <w:rsid w:val="008D3872"/>
    <w:rsid w:val="008E0747"/>
    <w:rsid w:val="008E2792"/>
    <w:rsid w:val="008E5E4E"/>
    <w:rsid w:val="008E66B1"/>
    <w:rsid w:val="008E6F3C"/>
    <w:rsid w:val="008F05C8"/>
    <w:rsid w:val="008F2076"/>
    <w:rsid w:val="008F63A7"/>
    <w:rsid w:val="009019CA"/>
    <w:rsid w:val="0090473B"/>
    <w:rsid w:val="00905725"/>
    <w:rsid w:val="00905A3B"/>
    <w:rsid w:val="00907D11"/>
    <w:rsid w:val="00911C0A"/>
    <w:rsid w:val="00915A5A"/>
    <w:rsid w:val="00916232"/>
    <w:rsid w:val="00917CD5"/>
    <w:rsid w:val="00920E08"/>
    <w:rsid w:val="00923D05"/>
    <w:rsid w:val="00933245"/>
    <w:rsid w:val="00933EB1"/>
    <w:rsid w:val="00935C76"/>
    <w:rsid w:val="00936E82"/>
    <w:rsid w:val="00940969"/>
    <w:rsid w:val="00943311"/>
    <w:rsid w:val="009444E7"/>
    <w:rsid w:val="00944C9A"/>
    <w:rsid w:val="00951D04"/>
    <w:rsid w:val="00953F5F"/>
    <w:rsid w:val="00954E0B"/>
    <w:rsid w:val="009556DF"/>
    <w:rsid w:val="00955953"/>
    <w:rsid w:val="00957D8D"/>
    <w:rsid w:val="00960521"/>
    <w:rsid w:val="00960B34"/>
    <w:rsid w:val="009613E2"/>
    <w:rsid w:val="00967457"/>
    <w:rsid w:val="00972B97"/>
    <w:rsid w:val="00975586"/>
    <w:rsid w:val="00975CEA"/>
    <w:rsid w:val="009776C5"/>
    <w:rsid w:val="00980101"/>
    <w:rsid w:val="00981771"/>
    <w:rsid w:val="00985F68"/>
    <w:rsid w:val="00993859"/>
    <w:rsid w:val="00997CC5"/>
    <w:rsid w:val="009A1057"/>
    <w:rsid w:val="009A1F51"/>
    <w:rsid w:val="009A2F0B"/>
    <w:rsid w:val="009A5C43"/>
    <w:rsid w:val="009A62F8"/>
    <w:rsid w:val="009A7271"/>
    <w:rsid w:val="009B0236"/>
    <w:rsid w:val="009B07E0"/>
    <w:rsid w:val="009B4F84"/>
    <w:rsid w:val="009C2348"/>
    <w:rsid w:val="009C2BE5"/>
    <w:rsid w:val="009C3D8A"/>
    <w:rsid w:val="009C5BC7"/>
    <w:rsid w:val="009C6FD0"/>
    <w:rsid w:val="009C725E"/>
    <w:rsid w:val="009C7389"/>
    <w:rsid w:val="009C76C8"/>
    <w:rsid w:val="009D03DC"/>
    <w:rsid w:val="009D128C"/>
    <w:rsid w:val="009D1F8B"/>
    <w:rsid w:val="009D4623"/>
    <w:rsid w:val="009D5599"/>
    <w:rsid w:val="009D70A0"/>
    <w:rsid w:val="009E0994"/>
    <w:rsid w:val="009E1E5F"/>
    <w:rsid w:val="009F2967"/>
    <w:rsid w:val="009F3735"/>
    <w:rsid w:val="009F4787"/>
    <w:rsid w:val="009F5497"/>
    <w:rsid w:val="009F5BE0"/>
    <w:rsid w:val="00A03739"/>
    <w:rsid w:val="00A06F52"/>
    <w:rsid w:val="00A15622"/>
    <w:rsid w:val="00A17BA5"/>
    <w:rsid w:val="00A20492"/>
    <w:rsid w:val="00A2600B"/>
    <w:rsid w:val="00A30EAC"/>
    <w:rsid w:val="00A3149C"/>
    <w:rsid w:val="00A3540C"/>
    <w:rsid w:val="00A401A5"/>
    <w:rsid w:val="00A4178C"/>
    <w:rsid w:val="00A43D50"/>
    <w:rsid w:val="00A44902"/>
    <w:rsid w:val="00A46886"/>
    <w:rsid w:val="00A468EE"/>
    <w:rsid w:val="00A475B5"/>
    <w:rsid w:val="00A53DA9"/>
    <w:rsid w:val="00A54A40"/>
    <w:rsid w:val="00A56000"/>
    <w:rsid w:val="00A60E94"/>
    <w:rsid w:val="00A62775"/>
    <w:rsid w:val="00A62EC8"/>
    <w:rsid w:val="00A663A1"/>
    <w:rsid w:val="00A67EC3"/>
    <w:rsid w:val="00A705EC"/>
    <w:rsid w:val="00A70621"/>
    <w:rsid w:val="00A72383"/>
    <w:rsid w:val="00A76832"/>
    <w:rsid w:val="00A77522"/>
    <w:rsid w:val="00A81EE6"/>
    <w:rsid w:val="00A83A2C"/>
    <w:rsid w:val="00A919D3"/>
    <w:rsid w:val="00A92968"/>
    <w:rsid w:val="00A938B0"/>
    <w:rsid w:val="00A93D72"/>
    <w:rsid w:val="00A94154"/>
    <w:rsid w:val="00A96B39"/>
    <w:rsid w:val="00AA0AAD"/>
    <w:rsid w:val="00AA18CA"/>
    <w:rsid w:val="00AA6C70"/>
    <w:rsid w:val="00AA6DF9"/>
    <w:rsid w:val="00AB085A"/>
    <w:rsid w:val="00AB1DC7"/>
    <w:rsid w:val="00AB553A"/>
    <w:rsid w:val="00AB74E9"/>
    <w:rsid w:val="00AC21F1"/>
    <w:rsid w:val="00AC34E7"/>
    <w:rsid w:val="00AC3983"/>
    <w:rsid w:val="00AC39A1"/>
    <w:rsid w:val="00AC3C3A"/>
    <w:rsid w:val="00AC5C09"/>
    <w:rsid w:val="00AC6B25"/>
    <w:rsid w:val="00AD0A5A"/>
    <w:rsid w:val="00AD29A4"/>
    <w:rsid w:val="00AD2B93"/>
    <w:rsid w:val="00AD678B"/>
    <w:rsid w:val="00AD6DF8"/>
    <w:rsid w:val="00AD7164"/>
    <w:rsid w:val="00AE1620"/>
    <w:rsid w:val="00AF098F"/>
    <w:rsid w:val="00AF263D"/>
    <w:rsid w:val="00AF4A03"/>
    <w:rsid w:val="00AF67CB"/>
    <w:rsid w:val="00B00C8A"/>
    <w:rsid w:val="00B05238"/>
    <w:rsid w:val="00B1094E"/>
    <w:rsid w:val="00B112F7"/>
    <w:rsid w:val="00B13210"/>
    <w:rsid w:val="00B17C29"/>
    <w:rsid w:val="00B213E4"/>
    <w:rsid w:val="00B21F00"/>
    <w:rsid w:val="00B22C95"/>
    <w:rsid w:val="00B24663"/>
    <w:rsid w:val="00B25056"/>
    <w:rsid w:val="00B259CB"/>
    <w:rsid w:val="00B261AE"/>
    <w:rsid w:val="00B262CC"/>
    <w:rsid w:val="00B30788"/>
    <w:rsid w:val="00B40AD3"/>
    <w:rsid w:val="00B40E93"/>
    <w:rsid w:val="00B416A9"/>
    <w:rsid w:val="00B43D67"/>
    <w:rsid w:val="00B51BBD"/>
    <w:rsid w:val="00B51EBD"/>
    <w:rsid w:val="00B528F0"/>
    <w:rsid w:val="00B545A5"/>
    <w:rsid w:val="00B55FBD"/>
    <w:rsid w:val="00B6377B"/>
    <w:rsid w:val="00B676A5"/>
    <w:rsid w:val="00B75A73"/>
    <w:rsid w:val="00B76EA1"/>
    <w:rsid w:val="00B8091F"/>
    <w:rsid w:val="00B813F8"/>
    <w:rsid w:val="00B82275"/>
    <w:rsid w:val="00B83369"/>
    <w:rsid w:val="00B83863"/>
    <w:rsid w:val="00B87F45"/>
    <w:rsid w:val="00B9206A"/>
    <w:rsid w:val="00B92129"/>
    <w:rsid w:val="00B9414A"/>
    <w:rsid w:val="00B94E80"/>
    <w:rsid w:val="00B9776E"/>
    <w:rsid w:val="00BA1A27"/>
    <w:rsid w:val="00BA306F"/>
    <w:rsid w:val="00BB5B07"/>
    <w:rsid w:val="00BB707A"/>
    <w:rsid w:val="00BC06E7"/>
    <w:rsid w:val="00BC2F94"/>
    <w:rsid w:val="00BC3C1A"/>
    <w:rsid w:val="00BC62DA"/>
    <w:rsid w:val="00BC6CA7"/>
    <w:rsid w:val="00BD3B56"/>
    <w:rsid w:val="00BD4E26"/>
    <w:rsid w:val="00BD71AC"/>
    <w:rsid w:val="00BD72AD"/>
    <w:rsid w:val="00BE726D"/>
    <w:rsid w:val="00BE7ADB"/>
    <w:rsid w:val="00BF071A"/>
    <w:rsid w:val="00BF0A47"/>
    <w:rsid w:val="00BF0D14"/>
    <w:rsid w:val="00BF33A1"/>
    <w:rsid w:val="00C02810"/>
    <w:rsid w:val="00C0405E"/>
    <w:rsid w:val="00C06524"/>
    <w:rsid w:val="00C11F9A"/>
    <w:rsid w:val="00C1652A"/>
    <w:rsid w:val="00C22678"/>
    <w:rsid w:val="00C22AE3"/>
    <w:rsid w:val="00C23188"/>
    <w:rsid w:val="00C24B16"/>
    <w:rsid w:val="00C254FC"/>
    <w:rsid w:val="00C2567D"/>
    <w:rsid w:val="00C37B13"/>
    <w:rsid w:val="00C40500"/>
    <w:rsid w:val="00C40CAC"/>
    <w:rsid w:val="00C429FB"/>
    <w:rsid w:val="00C4782F"/>
    <w:rsid w:val="00C51F47"/>
    <w:rsid w:val="00C5235F"/>
    <w:rsid w:val="00C52F3C"/>
    <w:rsid w:val="00C560A8"/>
    <w:rsid w:val="00C56964"/>
    <w:rsid w:val="00C5710D"/>
    <w:rsid w:val="00C57243"/>
    <w:rsid w:val="00C6056A"/>
    <w:rsid w:val="00C63DCA"/>
    <w:rsid w:val="00C64DF8"/>
    <w:rsid w:val="00C65034"/>
    <w:rsid w:val="00C66665"/>
    <w:rsid w:val="00C7524E"/>
    <w:rsid w:val="00C804D6"/>
    <w:rsid w:val="00C8087A"/>
    <w:rsid w:val="00C81A25"/>
    <w:rsid w:val="00C8488A"/>
    <w:rsid w:val="00C862CF"/>
    <w:rsid w:val="00C906B4"/>
    <w:rsid w:val="00C90B5C"/>
    <w:rsid w:val="00C942F6"/>
    <w:rsid w:val="00C94B9D"/>
    <w:rsid w:val="00CA37F4"/>
    <w:rsid w:val="00CA73B8"/>
    <w:rsid w:val="00CA75FF"/>
    <w:rsid w:val="00CA7E7F"/>
    <w:rsid w:val="00CB0D10"/>
    <w:rsid w:val="00CB166B"/>
    <w:rsid w:val="00CB36FD"/>
    <w:rsid w:val="00CB664F"/>
    <w:rsid w:val="00CB68D4"/>
    <w:rsid w:val="00CB72C0"/>
    <w:rsid w:val="00CB7712"/>
    <w:rsid w:val="00CC1AA7"/>
    <w:rsid w:val="00CD2946"/>
    <w:rsid w:val="00CD526F"/>
    <w:rsid w:val="00CE29AD"/>
    <w:rsid w:val="00CE6DDE"/>
    <w:rsid w:val="00CF6C86"/>
    <w:rsid w:val="00CF738E"/>
    <w:rsid w:val="00CF7975"/>
    <w:rsid w:val="00D020A2"/>
    <w:rsid w:val="00D03686"/>
    <w:rsid w:val="00D06A5E"/>
    <w:rsid w:val="00D148F4"/>
    <w:rsid w:val="00D176D7"/>
    <w:rsid w:val="00D21C3A"/>
    <w:rsid w:val="00D2264F"/>
    <w:rsid w:val="00D22EA1"/>
    <w:rsid w:val="00D25EC4"/>
    <w:rsid w:val="00D3053E"/>
    <w:rsid w:val="00D31703"/>
    <w:rsid w:val="00D31CDD"/>
    <w:rsid w:val="00D36B6C"/>
    <w:rsid w:val="00D44FF7"/>
    <w:rsid w:val="00D45937"/>
    <w:rsid w:val="00D468B0"/>
    <w:rsid w:val="00D47B7C"/>
    <w:rsid w:val="00D549AF"/>
    <w:rsid w:val="00D579C1"/>
    <w:rsid w:val="00D63B33"/>
    <w:rsid w:val="00D64C75"/>
    <w:rsid w:val="00D662D3"/>
    <w:rsid w:val="00D73F19"/>
    <w:rsid w:val="00D73F87"/>
    <w:rsid w:val="00D75337"/>
    <w:rsid w:val="00D754E3"/>
    <w:rsid w:val="00D87635"/>
    <w:rsid w:val="00D90FB8"/>
    <w:rsid w:val="00D919A8"/>
    <w:rsid w:val="00D91F5A"/>
    <w:rsid w:val="00D935B1"/>
    <w:rsid w:val="00D94756"/>
    <w:rsid w:val="00D947BD"/>
    <w:rsid w:val="00D94E29"/>
    <w:rsid w:val="00D94E55"/>
    <w:rsid w:val="00D95B4B"/>
    <w:rsid w:val="00D96592"/>
    <w:rsid w:val="00D97EA0"/>
    <w:rsid w:val="00DA0208"/>
    <w:rsid w:val="00DA4002"/>
    <w:rsid w:val="00DB0E51"/>
    <w:rsid w:val="00DB31CA"/>
    <w:rsid w:val="00DB3841"/>
    <w:rsid w:val="00DB5A6B"/>
    <w:rsid w:val="00DB7F9F"/>
    <w:rsid w:val="00DC002A"/>
    <w:rsid w:val="00DC0871"/>
    <w:rsid w:val="00DE34A1"/>
    <w:rsid w:val="00DE4756"/>
    <w:rsid w:val="00DF1CBB"/>
    <w:rsid w:val="00DF3D1C"/>
    <w:rsid w:val="00E0041C"/>
    <w:rsid w:val="00E01005"/>
    <w:rsid w:val="00E0588B"/>
    <w:rsid w:val="00E0611E"/>
    <w:rsid w:val="00E076FA"/>
    <w:rsid w:val="00E15177"/>
    <w:rsid w:val="00E17771"/>
    <w:rsid w:val="00E22A83"/>
    <w:rsid w:val="00E2468D"/>
    <w:rsid w:val="00E24C25"/>
    <w:rsid w:val="00E25502"/>
    <w:rsid w:val="00E2659B"/>
    <w:rsid w:val="00E32418"/>
    <w:rsid w:val="00E33016"/>
    <w:rsid w:val="00E42506"/>
    <w:rsid w:val="00E435F2"/>
    <w:rsid w:val="00E44526"/>
    <w:rsid w:val="00E453E3"/>
    <w:rsid w:val="00E475F2"/>
    <w:rsid w:val="00E47D95"/>
    <w:rsid w:val="00E53DD8"/>
    <w:rsid w:val="00E54B9E"/>
    <w:rsid w:val="00E56BB2"/>
    <w:rsid w:val="00E62B79"/>
    <w:rsid w:val="00E65633"/>
    <w:rsid w:val="00E711EC"/>
    <w:rsid w:val="00E72101"/>
    <w:rsid w:val="00E7306E"/>
    <w:rsid w:val="00E73CD9"/>
    <w:rsid w:val="00E75375"/>
    <w:rsid w:val="00E7752F"/>
    <w:rsid w:val="00E77EC1"/>
    <w:rsid w:val="00E814B0"/>
    <w:rsid w:val="00E81714"/>
    <w:rsid w:val="00E83002"/>
    <w:rsid w:val="00E84CE7"/>
    <w:rsid w:val="00E90853"/>
    <w:rsid w:val="00E950AC"/>
    <w:rsid w:val="00E954CB"/>
    <w:rsid w:val="00EB3F6C"/>
    <w:rsid w:val="00EC0429"/>
    <w:rsid w:val="00EC181E"/>
    <w:rsid w:val="00EC3626"/>
    <w:rsid w:val="00EC3BD3"/>
    <w:rsid w:val="00EC4A7C"/>
    <w:rsid w:val="00EC78C7"/>
    <w:rsid w:val="00ED30F8"/>
    <w:rsid w:val="00ED3713"/>
    <w:rsid w:val="00ED7288"/>
    <w:rsid w:val="00EE574C"/>
    <w:rsid w:val="00EF07ED"/>
    <w:rsid w:val="00F062CB"/>
    <w:rsid w:val="00F1241A"/>
    <w:rsid w:val="00F1318D"/>
    <w:rsid w:val="00F153AA"/>
    <w:rsid w:val="00F15435"/>
    <w:rsid w:val="00F174E5"/>
    <w:rsid w:val="00F1767F"/>
    <w:rsid w:val="00F21AF8"/>
    <w:rsid w:val="00F24B83"/>
    <w:rsid w:val="00F2706A"/>
    <w:rsid w:val="00F277C8"/>
    <w:rsid w:val="00F30934"/>
    <w:rsid w:val="00F316D5"/>
    <w:rsid w:val="00F33A76"/>
    <w:rsid w:val="00F34B57"/>
    <w:rsid w:val="00F373AF"/>
    <w:rsid w:val="00F4216D"/>
    <w:rsid w:val="00F42F92"/>
    <w:rsid w:val="00F43395"/>
    <w:rsid w:val="00F434DB"/>
    <w:rsid w:val="00F44BBF"/>
    <w:rsid w:val="00F459AD"/>
    <w:rsid w:val="00F46080"/>
    <w:rsid w:val="00F5007D"/>
    <w:rsid w:val="00F56586"/>
    <w:rsid w:val="00F61257"/>
    <w:rsid w:val="00F65059"/>
    <w:rsid w:val="00F837AD"/>
    <w:rsid w:val="00F83ADD"/>
    <w:rsid w:val="00F929DB"/>
    <w:rsid w:val="00F92A8A"/>
    <w:rsid w:val="00F92B9B"/>
    <w:rsid w:val="00F9601D"/>
    <w:rsid w:val="00FA02F1"/>
    <w:rsid w:val="00FA4424"/>
    <w:rsid w:val="00FB0535"/>
    <w:rsid w:val="00FB2D9F"/>
    <w:rsid w:val="00FB5856"/>
    <w:rsid w:val="00FB682A"/>
    <w:rsid w:val="00FC21D7"/>
    <w:rsid w:val="00FC25E6"/>
    <w:rsid w:val="00FC33A8"/>
    <w:rsid w:val="00FC3E10"/>
    <w:rsid w:val="00FC557E"/>
    <w:rsid w:val="00FC69AA"/>
    <w:rsid w:val="00FD0DB2"/>
    <w:rsid w:val="00FD25CB"/>
    <w:rsid w:val="00FD2FC2"/>
    <w:rsid w:val="00FD3C43"/>
    <w:rsid w:val="00FD3F74"/>
    <w:rsid w:val="00FD5888"/>
    <w:rsid w:val="00FD6F10"/>
    <w:rsid w:val="00FE04FA"/>
    <w:rsid w:val="00FE49DB"/>
    <w:rsid w:val="00FE4E8F"/>
    <w:rsid w:val="00FE6CA4"/>
    <w:rsid w:val="00FE7350"/>
    <w:rsid w:val="00FF4772"/>
    <w:rsid w:val="00FF57C6"/>
    <w:rsid w:val="00FF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CC523"/>
  <w15:chartTrackingRefBased/>
  <w15:docId w15:val="{00020BA1-C6AF-4413-82A2-799175E7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A2C"/>
    <w:pPr>
      <w:jc w:val="both"/>
    </w:pPr>
    <w:rPr>
      <w:sz w:val="24"/>
    </w:rPr>
  </w:style>
  <w:style w:type="paragraph" w:styleId="Heading1">
    <w:name w:val="heading 1"/>
    <w:basedOn w:val="Normal"/>
    <w:next w:val="Normal"/>
    <w:qFormat/>
    <w:rsid w:val="00136B0E"/>
    <w:pPr>
      <w:keepNext/>
      <w:spacing w:after="240"/>
      <w:jc w:val="center"/>
      <w:outlineLvl w:val="0"/>
    </w:pPr>
    <w:rPr>
      <w:rFonts w:ascii="Times New Roman Bold" w:hAnsi="Times New Roman Bold"/>
      <w:b/>
      <w:kern w:val="28"/>
      <w:u w:val="single"/>
    </w:rPr>
  </w:style>
  <w:style w:type="paragraph" w:styleId="Heading2">
    <w:name w:val="heading 2"/>
    <w:basedOn w:val="Normal"/>
    <w:next w:val="Normal"/>
    <w:link w:val="Heading2Char"/>
    <w:semiHidden/>
    <w:unhideWhenUsed/>
    <w:qFormat/>
    <w:rsid w:val="00C429F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F6C86"/>
    <w:pPr>
      <w:framePr w:w="7920" w:h="1980" w:hRule="exact" w:hSpace="180" w:wrap="auto" w:hAnchor="page" w:xAlign="center" w:yAlign="bottom"/>
      <w:ind w:left="2880"/>
    </w:pPr>
    <w:rPr>
      <w:rFonts w:ascii="Verdana" w:hAnsi="Verdana" w:cs="Raavi"/>
    </w:rPr>
  </w:style>
  <w:style w:type="paragraph" w:styleId="BodyText">
    <w:name w:val="Body Text"/>
    <w:basedOn w:val="Normal"/>
    <w:rsid w:val="00A83A2C"/>
    <w:pPr>
      <w:widowControl w:val="0"/>
      <w:spacing w:after="240"/>
      <w:ind w:firstLine="1440"/>
    </w:pPr>
  </w:style>
  <w:style w:type="paragraph" w:styleId="Header">
    <w:name w:val="header"/>
    <w:basedOn w:val="Normal"/>
    <w:link w:val="HeaderChar"/>
    <w:rsid w:val="00A83A2C"/>
    <w:pPr>
      <w:tabs>
        <w:tab w:val="center" w:pos="4320"/>
        <w:tab w:val="right" w:pos="9360"/>
      </w:tabs>
    </w:pPr>
  </w:style>
  <w:style w:type="paragraph" w:styleId="Footer">
    <w:name w:val="footer"/>
    <w:aliases w:val="ft"/>
    <w:basedOn w:val="Normal"/>
    <w:link w:val="FooterChar"/>
    <w:uiPriority w:val="99"/>
    <w:rsid w:val="00A83A2C"/>
    <w:pPr>
      <w:tabs>
        <w:tab w:val="center" w:pos="4680"/>
        <w:tab w:val="right" w:pos="9360"/>
      </w:tabs>
      <w:spacing w:line="240" w:lineRule="atLeast"/>
    </w:pPr>
    <w:rPr>
      <w:sz w:val="20"/>
    </w:rPr>
  </w:style>
  <w:style w:type="character" w:styleId="PageNumber">
    <w:name w:val="page number"/>
    <w:rsid w:val="00A83A2C"/>
    <w:rPr>
      <w:sz w:val="24"/>
    </w:rPr>
  </w:style>
  <w:style w:type="paragraph" w:styleId="BodyTextIndent">
    <w:name w:val="Body Text Indent"/>
    <w:basedOn w:val="BodyText"/>
    <w:next w:val="BodyText"/>
    <w:rsid w:val="00A83A2C"/>
    <w:pPr>
      <w:ind w:left="720" w:firstLine="0"/>
    </w:pPr>
  </w:style>
  <w:style w:type="paragraph" w:customStyle="1" w:styleId="NGEBody">
    <w:name w:val="NGEBody"/>
    <w:aliases w:val="b1"/>
    <w:basedOn w:val="Normal"/>
    <w:rsid w:val="00A83A2C"/>
    <w:pPr>
      <w:spacing w:after="240" w:line="480" w:lineRule="auto"/>
      <w:ind w:firstLine="720"/>
    </w:pPr>
  </w:style>
  <w:style w:type="paragraph" w:customStyle="1" w:styleId="NGETitleFL">
    <w:name w:val="NGETitle FL"/>
    <w:aliases w:val="t2"/>
    <w:basedOn w:val="Normal"/>
    <w:next w:val="NGEBody"/>
    <w:rsid w:val="00A83A2C"/>
    <w:pPr>
      <w:keepNext/>
      <w:spacing w:before="240" w:after="240"/>
      <w:jc w:val="center"/>
      <w:outlineLvl w:val="1"/>
    </w:pPr>
    <w:rPr>
      <w:rFonts w:ascii="Times New Roman Bold" w:hAnsi="Times New Roman Bold"/>
      <w:b/>
      <w:szCs w:val="24"/>
    </w:rPr>
  </w:style>
  <w:style w:type="table" w:styleId="TableGrid">
    <w:name w:val="Table Grid"/>
    <w:basedOn w:val="TableNormal"/>
    <w:rsid w:val="00A83A2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83A2C"/>
    <w:pPr>
      <w:spacing w:line="480" w:lineRule="auto"/>
      <w:ind w:firstLine="720"/>
      <w:jc w:val="left"/>
    </w:pPr>
  </w:style>
  <w:style w:type="paragraph" w:styleId="Signature">
    <w:name w:val="Signature"/>
    <w:basedOn w:val="Normal"/>
    <w:rsid w:val="00A83A2C"/>
    <w:pPr>
      <w:widowControl w:val="0"/>
      <w:autoSpaceDE w:val="0"/>
      <w:autoSpaceDN w:val="0"/>
      <w:adjustRightInd w:val="0"/>
      <w:ind w:left="4320"/>
      <w:jc w:val="left"/>
    </w:pPr>
    <w:rPr>
      <w:szCs w:val="24"/>
    </w:rPr>
  </w:style>
  <w:style w:type="paragraph" w:customStyle="1" w:styleId="WPFooter">
    <w:name w:val="WP_Footer"/>
    <w:basedOn w:val="Normal"/>
    <w:rsid w:val="00A83A2C"/>
    <w:pPr>
      <w:tabs>
        <w:tab w:val="left" w:pos="0"/>
        <w:tab w:val="center" w:pos="4680"/>
        <w:tab w:val="right" w:pos="9360"/>
      </w:tabs>
      <w:jc w:val="left"/>
    </w:pPr>
  </w:style>
  <w:style w:type="paragraph" w:styleId="ListNumber">
    <w:name w:val="List Number"/>
    <w:basedOn w:val="Normal"/>
    <w:rsid w:val="00A83A2C"/>
    <w:pPr>
      <w:numPr>
        <w:numId w:val="1"/>
      </w:numPr>
      <w:spacing w:line="480" w:lineRule="auto"/>
      <w:jc w:val="left"/>
    </w:pPr>
  </w:style>
  <w:style w:type="character" w:styleId="Hyperlink">
    <w:name w:val="Hyperlink"/>
    <w:rsid w:val="00A83A2C"/>
    <w:rPr>
      <w:color w:val="0000FF"/>
      <w:u w:val="single"/>
    </w:rPr>
  </w:style>
  <w:style w:type="paragraph" w:styleId="Quote">
    <w:name w:val="Quote"/>
    <w:basedOn w:val="Normal"/>
    <w:next w:val="Normal"/>
    <w:qFormat/>
    <w:rsid w:val="00D754E3"/>
    <w:pPr>
      <w:spacing w:after="240"/>
      <w:ind w:left="1440" w:right="1440"/>
    </w:pPr>
  </w:style>
  <w:style w:type="character" w:customStyle="1" w:styleId="zzmpTrailerItem">
    <w:name w:val="zzmpTrailerItem"/>
    <w:rsid w:val="00B25056"/>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GEBodyL2">
    <w:name w:val="NGEBody L2"/>
    <w:aliases w:val="l2"/>
    <w:basedOn w:val="Normal"/>
    <w:rsid w:val="00B25056"/>
    <w:pPr>
      <w:spacing w:line="480" w:lineRule="auto"/>
      <w:ind w:firstLine="720"/>
      <w:jc w:val="left"/>
    </w:pPr>
  </w:style>
  <w:style w:type="paragraph" w:customStyle="1" w:styleId="NGEBody2">
    <w:name w:val="NGEBody2"/>
    <w:aliases w:val="b2"/>
    <w:basedOn w:val="Normal"/>
    <w:rsid w:val="00B25056"/>
    <w:pPr>
      <w:spacing w:line="480" w:lineRule="auto"/>
      <w:ind w:firstLine="720"/>
      <w:jc w:val="left"/>
    </w:pPr>
  </w:style>
  <w:style w:type="paragraph" w:customStyle="1" w:styleId="NGETitleC">
    <w:name w:val="NGETitleC"/>
    <w:aliases w:val="t1"/>
    <w:basedOn w:val="Normal"/>
    <w:next w:val="NGEBody"/>
    <w:rsid w:val="00B25056"/>
    <w:pPr>
      <w:keepNext/>
      <w:spacing w:after="240"/>
      <w:jc w:val="center"/>
      <w:outlineLvl w:val="0"/>
    </w:pPr>
    <w:rPr>
      <w:rFonts w:ascii="Times New Roman Bold" w:hAnsi="Times New Roman Bold"/>
      <w:b/>
    </w:rPr>
  </w:style>
  <w:style w:type="paragraph" w:customStyle="1" w:styleId="OutlineL1">
    <w:name w:val="Outline_L1"/>
    <w:basedOn w:val="Normal"/>
    <w:next w:val="Normal"/>
    <w:rsid w:val="00B25056"/>
    <w:pPr>
      <w:numPr>
        <w:numId w:val="4"/>
      </w:numPr>
      <w:spacing w:after="240"/>
      <w:outlineLvl w:val="0"/>
    </w:pPr>
    <w:rPr>
      <w:b/>
      <w:caps/>
      <w:u w:val="single"/>
    </w:rPr>
  </w:style>
  <w:style w:type="paragraph" w:customStyle="1" w:styleId="OutlineL2">
    <w:name w:val="Outline_L2"/>
    <w:basedOn w:val="OutlineL1"/>
    <w:next w:val="Normal"/>
    <w:rsid w:val="00B25056"/>
    <w:pPr>
      <w:keepNext/>
      <w:numPr>
        <w:ilvl w:val="1"/>
      </w:numPr>
      <w:spacing w:after="0" w:line="480" w:lineRule="auto"/>
      <w:jc w:val="left"/>
      <w:outlineLvl w:val="1"/>
    </w:pPr>
    <w:rPr>
      <w:caps w:val="0"/>
      <w:u w:val="none"/>
    </w:rPr>
  </w:style>
  <w:style w:type="paragraph" w:customStyle="1" w:styleId="OutlineL3">
    <w:name w:val="Outline_L3"/>
    <w:basedOn w:val="OutlineL2"/>
    <w:next w:val="Normal"/>
    <w:rsid w:val="00B25056"/>
    <w:pPr>
      <w:numPr>
        <w:ilvl w:val="2"/>
      </w:numPr>
      <w:outlineLvl w:val="2"/>
    </w:pPr>
    <w:rPr>
      <w:b w:val="0"/>
    </w:rPr>
  </w:style>
  <w:style w:type="paragraph" w:customStyle="1" w:styleId="OutlineL4">
    <w:name w:val="Outline_L4"/>
    <w:basedOn w:val="OutlineL3"/>
    <w:next w:val="Normal"/>
    <w:rsid w:val="00B25056"/>
    <w:pPr>
      <w:numPr>
        <w:ilvl w:val="3"/>
      </w:numPr>
      <w:spacing w:after="240" w:line="240" w:lineRule="auto"/>
      <w:outlineLvl w:val="3"/>
    </w:pPr>
  </w:style>
  <w:style w:type="paragraph" w:customStyle="1" w:styleId="OutlineL5">
    <w:name w:val="Outline_L5"/>
    <w:basedOn w:val="OutlineL4"/>
    <w:next w:val="Normal"/>
    <w:rsid w:val="00B25056"/>
    <w:pPr>
      <w:numPr>
        <w:ilvl w:val="4"/>
      </w:numPr>
      <w:outlineLvl w:val="4"/>
    </w:pPr>
  </w:style>
  <w:style w:type="paragraph" w:customStyle="1" w:styleId="OutlineL6">
    <w:name w:val="Outline_L6"/>
    <w:basedOn w:val="OutlineL5"/>
    <w:next w:val="Normal"/>
    <w:rsid w:val="00B25056"/>
    <w:pPr>
      <w:numPr>
        <w:ilvl w:val="5"/>
      </w:numPr>
      <w:outlineLvl w:val="5"/>
    </w:pPr>
  </w:style>
  <w:style w:type="paragraph" w:customStyle="1" w:styleId="OutlineL7">
    <w:name w:val="Outline_L7"/>
    <w:basedOn w:val="OutlineL6"/>
    <w:next w:val="Normal"/>
    <w:rsid w:val="00B25056"/>
    <w:pPr>
      <w:numPr>
        <w:ilvl w:val="6"/>
      </w:numPr>
      <w:outlineLvl w:val="6"/>
    </w:pPr>
  </w:style>
  <w:style w:type="paragraph" w:customStyle="1" w:styleId="OutlineL8">
    <w:name w:val="Outline_L8"/>
    <w:basedOn w:val="OutlineL7"/>
    <w:next w:val="Normal"/>
    <w:rsid w:val="00B25056"/>
    <w:pPr>
      <w:numPr>
        <w:ilvl w:val="7"/>
      </w:numPr>
      <w:outlineLvl w:val="7"/>
    </w:pPr>
  </w:style>
  <w:style w:type="paragraph" w:customStyle="1" w:styleId="OutlineL9">
    <w:name w:val="Outline_L9"/>
    <w:basedOn w:val="OutlineL8"/>
    <w:next w:val="Normal"/>
    <w:rsid w:val="00B25056"/>
    <w:pPr>
      <w:numPr>
        <w:ilvl w:val="8"/>
      </w:numPr>
      <w:outlineLvl w:val="8"/>
    </w:pPr>
  </w:style>
  <w:style w:type="paragraph" w:customStyle="1" w:styleId="Letterhead">
    <w:name w:val="Letterhead"/>
    <w:rsid w:val="003B15CB"/>
    <w:pPr>
      <w:jc w:val="center"/>
    </w:pPr>
    <w:rPr>
      <w:rFonts w:ascii="Arial" w:hAnsi="Arial"/>
      <w:noProof/>
      <w:sz w:val="17"/>
      <w:szCs w:val="16"/>
    </w:rPr>
  </w:style>
  <w:style w:type="paragraph" w:customStyle="1" w:styleId="LetterheadAuthor">
    <w:name w:val="Letterhead Author"/>
    <w:basedOn w:val="Letterhead"/>
    <w:rsid w:val="003B15CB"/>
    <w:pPr>
      <w:ind w:left="115" w:right="43"/>
      <w:jc w:val="left"/>
    </w:pPr>
    <w:rPr>
      <w:smallCaps/>
      <w:sz w:val="16"/>
    </w:rPr>
  </w:style>
  <w:style w:type="paragraph" w:customStyle="1" w:styleId="LetterSignatureSub">
    <w:name w:val="Letter Signature Sub"/>
    <w:basedOn w:val="Normal"/>
    <w:rsid w:val="003B15CB"/>
    <w:pPr>
      <w:keepNext/>
      <w:keepLines/>
      <w:spacing w:before="240"/>
      <w:ind w:left="720" w:hanging="720"/>
      <w:jc w:val="left"/>
    </w:pPr>
  </w:style>
  <w:style w:type="paragraph" w:styleId="ListBullet3">
    <w:name w:val="List Bullet 3"/>
    <w:basedOn w:val="Normal"/>
    <w:autoRedefine/>
    <w:rsid w:val="007C1E5E"/>
    <w:pPr>
      <w:numPr>
        <w:numId w:val="5"/>
      </w:numPr>
      <w:spacing w:after="240"/>
      <w:jc w:val="left"/>
    </w:pPr>
  </w:style>
  <w:style w:type="paragraph" w:styleId="FootnoteText">
    <w:name w:val="footnote text"/>
    <w:basedOn w:val="Normal"/>
    <w:semiHidden/>
    <w:rsid w:val="00602B10"/>
    <w:pPr>
      <w:jc w:val="left"/>
    </w:pPr>
    <w:rPr>
      <w:sz w:val="20"/>
    </w:rPr>
  </w:style>
  <w:style w:type="character" w:styleId="FootnoteReference">
    <w:name w:val="footnote reference"/>
    <w:semiHidden/>
    <w:rsid w:val="00602B10"/>
    <w:rPr>
      <w:vertAlign w:val="superscript"/>
    </w:rPr>
  </w:style>
  <w:style w:type="paragraph" w:styleId="NormalWeb">
    <w:name w:val="Normal (Web)"/>
    <w:basedOn w:val="Normal"/>
    <w:uiPriority w:val="99"/>
    <w:rsid w:val="009C2BE5"/>
    <w:pPr>
      <w:spacing w:before="100" w:beforeAutospacing="1" w:after="100" w:afterAutospacing="1"/>
      <w:jc w:val="left"/>
    </w:pPr>
    <w:rPr>
      <w:color w:val="000000"/>
      <w:szCs w:val="24"/>
    </w:rPr>
  </w:style>
  <w:style w:type="character" w:customStyle="1" w:styleId="personname">
    <w:name w:val="personname"/>
    <w:basedOn w:val="DefaultParagraphFont"/>
    <w:rsid w:val="009C2BE5"/>
  </w:style>
  <w:style w:type="table" w:customStyle="1" w:styleId="TableGrid1">
    <w:name w:val="Table Grid1"/>
    <w:basedOn w:val="TableNormal"/>
    <w:next w:val="TableGrid"/>
    <w:rsid w:val="005848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E435F2"/>
    <w:pPr>
      <w:numPr>
        <w:numId w:val="11"/>
      </w:numPr>
    </w:pPr>
  </w:style>
  <w:style w:type="paragraph" w:customStyle="1" w:styleId="BodyText1">
    <w:name w:val="Body Text 1"/>
    <w:basedOn w:val="Normal"/>
    <w:rsid w:val="00E435F2"/>
    <w:pPr>
      <w:ind w:left="720"/>
    </w:pPr>
    <w:rPr>
      <w:szCs w:val="24"/>
    </w:rPr>
  </w:style>
  <w:style w:type="paragraph" w:customStyle="1" w:styleId="Corp1L1">
    <w:name w:val="Corp1_L1"/>
    <w:basedOn w:val="Normal"/>
    <w:next w:val="Normal"/>
    <w:rsid w:val="00E435F2"/>
    <w:pPr>
      <w:numPr>
        <w:numId w:val="12"/>
      </w:numPr>
      <w:spacing w:after="240"/>
      <w:jc w:val="center"/>
      <w:outlineLvl w:val="0"/>
    </w:pPr>
  </w:style>
  <w:style w:type="paragraph" w:customStyle="1" w:styleId="Corp1L2">
    <w:name w:val="Corp1_L2"/>
    <w:basedOn w:val="Corp1L1"/>
    <w:next w:val="Normal"/>
    <w:rsid w:val="00E435F2"/>
    <w:pPr>
      <w:numPr>
        <w:ilvl w:val="1"/>
      </w:numPr>
      <w:jc w:val="both"/>
      <w:outlineLvl w:val="1"/>
    </w:pPr>
  </w:style>
  <w:style w:type="paragraph" w:customStyle="1" w:styleId="Corp1L3">
    <w:name w:val="Corp1_L3"/>
    <w:basedOn w:val="Corp1L2"/>
    <w:next w:val="Normal"/>
    <w:rsid w:val="00E435F2"/>
    <w:pPr>
      <w:numPr>
        <w:ilvl w:val="2"/>
      </w:numPr>
      <w:outlineLvl w:val="2"/>
    </w:pPr>
  </w:style>
  <w:style w:type="paragraph" w:customStyle="1" w:styleId="Corp1L4">
    <w:name w:val="Corp1_L4"/>
    <w:basedOn w:val="Corp1L3"/>
    <w:next w:val="Normal"/>
    <w:rsid w:val="00E435F2"/>
    <w:pPr>
      <w:numPr>
        <w:ilvl w:val="3"/>
      </w:numPr>
      <w:outlineLvl w:val="3"/>
    </w:pPr>
  </w:style>
  <w:style w:type="paragraph" w:customStyle="1" w:styleId="Corp1L5">
    <w:name w:val="Corp1_L5"/>
    <w:basedOn w:val="Corp1L4"/>
    <w:next w:val="Normal"/>
    <w:rsid w:val="00E435F2"/>
    <w:pPr>
      <w:numPr>
        <w:ilvl w:val="4"/>
      </w:numPr>
      <w:outlineLvl w:val="4"/>
    </w:pPr>
  </w:style>
  <w:style w:type="paragraph" w:customStyle="1" w:styleId="Corp1L6">
    <w:name w:val="Corp1_L6"/>
    <w:basedOn w:val="Corp1L5"/>
    <w:next w:val="Normal"/>
    <w:rsid w:val="00E435F2"/>
    <w:pPr>
      <w:numPr>
        <w:ilvl w:val="5"/>
      </w:numPr>
      <w:outlineLvl w:val="5"/>
    </w:pPr>
  </w:style>
  <w:style w:type="paragraph" w:styleId="BalloonText">
    <w:name w:val="Balloon Text"/>
    <w:basedOn w:val="Normal"/>
    <w:semiHidden/>
    <w:rsid w:val="00FD3C43"/>
    <w:rPr>
      <w:rFonts w:ascii="Tahoma" w:hAnsi="Tahoma" w:cs="Tahoma"/>
      <w:sz w:val="16"/>
      <w:szCs w:val="16"/>
    </w:rPr>
  </w:style>
  <w:style w:type="paragraph" w:customStyle="1" w:styleId="Default">
    <w:name w:val="Default"/>
    <w:rsid w:val="00A43D50"/>
    <w:pPr>
      <w:autoSpaceDE w:val="0"/>
      <w:autoSpaceDN w:val="0"/>
      <w:adjustRightInd w:val="0"/>
    </w:pPr>
    <w:rPr>
      <w:rFonts w:eastAsia="Calibri"/>
      <w:color w:val="000000"/>
      <w:sz w:val="24"/>
      <w:szCs w:val="24"/>
    </w:rPr>
  </w:style>
  <w:style w:type="character" w:customStyle="1" w:styleId="FooterChar">
    <w:name w:val="Footer Char"/>
    <w:aliases w:val="ft Char"/>
    <w:basedOn w:val="DefaultParagraphFont"/>
    <w:link w:val="Footer"/>
    <w:uiPriority w:val="99"/>
    <w:rsid w:val="008C652F"/>
  </w:style>
  <w:style w:type="character" w:customStyle="1" w:styleId="HeaderChar">
    <w:name w:val="Header Char"/>
    <w:link w:val="Header"/>
    <w:rsid w:val="008C652F"/>
    <w:rPr>
      <w:sz w:val="24"/>
    </w:rPr>
  </w:style>
  <w:style w:type="paragraph" w:customStyle="1" w:styleId="NGECaptionC">
    <w:name w:val="NGECaption C"/>
    <w:aliases w:val="c1"/>
    <w:basedOn w:val="Normal"/>
    <w:next w:val="Normal"/>
    <w:rsid w:val="00FF699E"/>
    <w:pPr>
      <w:keepNext/>
      <w:spacing w:after="240"/>
      <w:jc w:val="center"/>
      <w:outlineLvl w:val="0"/>
    </w:pPr>
    <w:rPr>
      <w:rFonts w:ascii="Times New Roman Bold" w:hAnsi="Times New Roman Bold"/>
      <w:b/>
      <w:caps/>
      <w:sz w:val="20"/>
    </w:rPr>
  </w:style>
  <w:style w:type="character" w:customStyle="1" w:styleId="Heading2Char">
    <w:name w:val="Heading 2 Char"/>
    <w:link w:val="Heading2"/>
    <w:semiHidden/>
    <w:rsid w:val="00C429FB"/>
    <w:rPr>
      <w:rFonts w:ascii="Calibri Light" w:eastAsia="Times New Roman" w:hAnsi="Calibri Light" w:cs="Times New Roman"/>
      <w:b/>
      <w:bCs/>
      <w:i/>
      <w:iCs/>
      <w:sz w:val="28"/>
      <w:szCs w:val="28"/>
    </w:rPr>
  </w:style>
  <w:style w:type="paragraph" w:styleId="ListParagraph">
    <w:name w:val="List Paragraph"/>
    <w:basedOn w:val="Normal"/>
    <w:uiPriority w:val="34"/>
    <w:qFormat/>
    <w:rsid w:val="00D919A8"/>
    <w:pPr>
      <w:ind w:left="720"/>
      <w:contextualSpacing/>
      <w:jc w:val="left"/>
    </w:pPr>
    <w:rPr>
      <w:rFonts w:asciiTheme="minorHAnsi" w:eastAsia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640">
      <w:bodyDiv w:val="1"/>
      <w:marLeft w:val="0"/>
      <w:marRight w:val="0"/>
      <w:marTop w:val="0"/>
      <w:marBottom w:val="0"/>
      <w:divBdr>
        <w:top w:val="none" w:sz="0" w:space="0" w:color="auto"/>
        <w:left w:val="none" w:sz="0" w:space="0" w:color="auto"/>
        <w:bottom w:val="none" w:sz="0" w:space="0" w:color="auto"/>
        <w:right w:val="none" w:sz="0" w:space="0" w:color="auto"/>
      </w:divBdr>
    </w:div>
    <w:div w:id="172964051">
      <w:bodyDiv w:val="1"/>
      <w:marLeft w:val="0"/>
      <w:marRight w:val="0"/>
      <w:marTop w:val="0"/>
      <w:marBottom w:val="0"/>
      <w:divBdr>
        <w:top w:val="none" w:sz="0" w:space="0" w:color="auto"/>
        <w:left w:val="none" w:sz="0" w:space="0" w:color="auto"/>
        <w:bottom w:val="none" w:sz="0" w:space="0" w:color="auto"/>
        <w:right w:val="none" w:sz="0" w:space="0" w:color="auto"/>
      </w:divBdr>
    </w:div>
    <w:div w:id="281888585">
      <w:bodyDiv w:val="1"/>
      <w:marLeft w:val="0"/>
      <w:marRight w:val="0"/>
      <w:marTop w:val="0"/>
      <w:marBottom w:val="0"/>
      <w:divBdr>
        <w:top w:val="none" w:sz="0" w:space="0" w:color="auto"/>
        <w:left w:val="none" w:sz="0" w:space="0" w:color="auto"/>
        <w:bottom w:val="none" w:sz="0" w:space="0" w:color="auto"/>
        <w:right w:val="none" w:sz="0" w:space="0" w:color="auto"/>
      </w:divBdr>
    </w:div>
    <w:div w:id="302274526">
      <w:bodyDiv w:val="1"/>
      <w:marLeft w:val="0"/>
      <w:marRight w:val="0"/>
      <w:marTop w:val="0"/>
      <w:marBottom w:val="0"/>
      <w:divBdr>
        <w:top w:val="none" w:sz="0" w:space="0" w:color="auto"/>
        <w:left w:val="none" w:sz="0" w:space="0" w:color="auto"/>
        <w:bottom w:val="none" w:sz="0" w:space="0" w:color="auto"/>
        <w:right w:val="none" w:sz="0" w:space="0" w:color="auto"/>
      </w:divBdr>
    </w:div>
    <w:div w:id="560674628">
      <w:bodyDiv w:val="1"/>
      <w:marLeft w:val="0"/>
      <w:marRight w:val="0"/>
      <w:marTop w:val="0"/>
      <w:marBottom w:val="0"/>
      <w:divBdr>
        <w:top w:val="none" w:sz="0" w:space="0" w:color="auto"/>
        <w:left w:val="none" w:sz="0" w:space="0" w:color="auto"/>
        <w:bottom w:val="none" w:sz="0" w:space="0" w:color="auto"/>
        <w:right w:val="none" w:sz="0" w:space="0" w:color="auto"/>
      </w:divBdr>
    </w:div>
    <w:div w:id="789128926">
      <w:bodyDiv w:val="1"/>
      <w:marLeft w:val="0"/>
      <w:marRight w:val="0"/>
      <w:marTop w:val="0"/>
      <w:marBottom w:val="0"/>
      <w:divBdr>
        <w:top w:val="none" w:sz="0" w:space="0" w:color="auto"/>
        <w:left w:val="none" w:sz="0" w:space="0" w:color="auto"/>
        <w:bottom w:val="none" w:sz="0" w:space="0" w:color="auto"/>
        <w:right w:val="none" w:sz="0" w:space="0" w:color="auto"/>
      </w:divBdr>
    </w:div>
    <w:div w:id="863907176">
      <w:bodyDiv w:val="1"/>
      <w:marLeft w:val="0"/>
      <w:marRight w:val="0"/>
      <w:marTop w:val="0"/>
      <w:marBottom w:val="0"/>
      <w:divBdr>
        <w:top w:val="none" w:sz="0" w:space="0" w:color="auto"/>
        <w:left w:val="none" w:sz="0" w:space="0" w:color="auto"/>
        <w:bottom w:val="none" w:sz="0" w:space="0" w:color="auto"/>
        <w:right w:val="none" w:sz="0" w:space="0" w:color="auto"/>
      </w:divBdr>
      <w:divsChild>
        <w:div w:id="450513052">
          <w:marLeft w:val="0"/>
          <w:marRight w:val="0"/>
          <w:marTop w:val="0"/>
          <w:marBottom w:val="0"/>
          <w:divBdr>
            <w:top w:val="none" w:sz="0" w:space="0" w:color="auto"/>
            <w:left w:val="none" w:sz="0" w:space="0" w:color="auto"/>
            <w:bottom w:val="none" w:sz="0" w:space="0" w:color="auto"/>
            <w:right w:val="none" w:sz="0" w:space="0" w:color="auto"/>
          </w:divBdr>
        </w:div>
      </w:divsChild>
    </w:div>
    <w:div w:id="1111826993">
      <w:bodyDiv w:val="1"/>
      <w:marLeft w:val="0"/>
      <w:marRight w:val="0"/>
      <w:marTop w:val="0"/>
      <w:marBottom w:val="0"/>
      <w:divBdr>
        <w:top w:val="none" w:sz="0" w:space="0" w:color="auto"/>
        <w:left w:val="none" w:sz="0" w:space="0" w:color="auto"/>
        <w:bottom w:val="none" w:sz="0" w:space="0" w:color="auto"/>
        <w:right w:val="none" w:sz="0" w:space="0" w:color="auto"/>
      </w:divBdr>
    </w:div>
    <w:div w:id="1299187313">
      <w:bodyDiv w:val="1"/>
      <w:marLeft w:val="0"/>
      <w:marRight w:val="0"/>
      <w:marTop w:val="0"/>
      <w:marBottom w:val="0"/>
      <w:divBdr>
        <w:top w:val="none" w:sz="0" w:space="0" w:color="auto"/>
        <w:left w:val="none" w:sz="0" w:space="0" w:color="auto"/>
        <w:bottom w:val="none" w:sz="0" w:space="0" w:color="auto"/>
        <w:right w:val="none" w:sz="0" w:space="0" w:color="auto"/>
      </w:divBdr>
    </w:div>
    <w:div w:id="1327590312">
      <w:bodyDiv w:val="1"/>
      <w:marLeft w:val="0"/>
      <w:marRight w:val="0"/>
      <w:marTop w:val="0"/>
      <w:marBottom w:val="0"/>
      <w:divBdr>
        <w:top w:val="none" w:sz="0" w:space="0" w:color="auto"/>
        <w:left w:val="none" w:sz="0" w:space="0" w:color="auto"/>
        <w:bottom w:val="none" w:sz="0" w:space="0" w:color="auto"/>
        <w:right w:val="none" w:sz="0" w:space="0" w:color="auto"/>
      </w:divBdr>
    </w:div>
    <w:div w:id="1798406015">
      <w:bodyDiv w:val="1"/>
      <w:marLeft w:val="0"/>
      <w:marRight w:val="0"/>
      <w:marTop w:val="0"/>
      <w:marBottom w:val="0"/>
      <w:divBdr>
        <w:top w:val="none" w:sz="0" w:space="0" w:color="auto"/>
        <w:left w:val="none" w:sz="0" w:space="0" w:color="auto"/>
        <w:bottom w:val="none" w:sz="0" w:space="0" w:color="auto"/>
        <w:right w:val="none" w:sz="0" w:space="0" w:color="auto"/>
      </w:divBdr>
    </w:div>
    <w:div w:id="19959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3486A-C7A2-4DDC-8261-769F2CF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3</Pages>
  <Words>748</Words>
  <Characters>4241</Characters>
  <Application>Microsoft Office Word</Application>
  <DocSecurity>0</DocSecurity>
  <PresentationFormat/>
  <Lines>82</Lines>
  <Paragraphs>38</Paragraphs>
  <ScaleCrop>false</ScaleCrop>
  <HeadingPairs>
    <vt:vector size="2" baseType="variant">
      <vt:variant>
        <vt:lpstr>Title</vt:lpstr>
      </vt:variant>
      <vt:variant>
        <vt:i4>1</vt:i4>
      </vt:variant>
    </vt:vector>
  </HeadingPairs>
  <TitlesOfParts>
    <vt:vector size="1" baseType="lpstr">
      <vt:lpstr>Fraser's - Annual Report for 2021 (00062810-2).DOCX</vt:lpstr>
    </vt:vector>
  </TitlesOfParts>
  <Company>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Fraser's - Annual Report for 2021 (00062810-2).DOCX</dc:title>
  <dc:subject>FRASERS/001/00062810.DOCX/2/font=8</dc:subject>
  <dc:creator>ccarpenter</dc:creator>
  <cp:keywords/>
  <dc:description/>
  <cp:lastModifiedBy>Jeremy Kleinman</cp:lastModifiedBy>
  <cp:revision>10</cp:revision>
  <cp:lastPrinted>2022-01-27T21:14:00Z</cp:lastPrinted>
  <dcterms:created xsi:type="dcterms:W3CDTF">2022-01-26T05:21:00Z</dcterms:created>
  <dcterms:modified xsi:type="dcterms:W3CDTF">2022-01-31T22:11:00Z</dcterms:modified>
</cp:coreProperties>
</file>